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4BA" w:rsidRPr="005036D1" w:rsidRDefault="001434BA" w:rsidP="0014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617(075.8)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О-753</w:t>
      </w:r>
    </w:p>
    <w:p w:rsidR="001434BA" w:rsidRPr="005036D1" w:rsidRDefault="001434BA" w:rsidP="0014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Основы частной хирургии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: пособие для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студ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учреждений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высш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образования, обучающихся по специальности 1-79 01 02 "Педиатрия" : рекомендовано УМО по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высш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мед., фармацевт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о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бразованию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 / [С. М. Смотрин и др.] ; под общ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р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ед. С. М.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Смотрина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Беларусь, УО "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Гродн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н-т", 2-я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каф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хирургических болезней.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 338 с.</w:t>
      </w:r>
    </w:p>
    <w:p w:rsidR="001434BA" w:rsidRDefault="001434BA" w:rsidP="00DE5A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4BA" w:rsidRPr="005036D1" w:rsidRDefault="001434BA" w:rsidP="0014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17-053.2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Ш711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Шмаков, 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Учебно-методические рекомендации к практическим занятиям по детской хирургии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студ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лечебного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фак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мед.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ВУЗа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/ А. П. Шмаков</w:t>
      </w:r>
      <w:proofErr w:type="gramStart"/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>;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Беларусь,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Витеб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н-т.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Витебск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Чернин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Б. И.,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168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табл.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в конце тем.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.: с. 161-168. </w:t>
      </w:r>
    </w:p>
    <w:p w:rsidR="001434BA" w:rsidRDefault="001434BA" w:rsidP="00DE5A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4BA" w:rsidRPr="005036D1" w:rsidRDefault="001434BA" w:rsidP="001434BA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617-053.2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Ш711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Шмаков, А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П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Фундаментальные вопросы теории и курс лекций по детской хирургии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для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студ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лечебного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фак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мед.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ВУЗа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/ А. П</w:t>
      </w:r>
      <w:r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Шмаков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Беларусь,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Витеб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н-т.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Витебск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Чернин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Б. И.,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185 с.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178-185.</w:t>
      </w:r>
    </w:p>
    <w:p w:rsidR="001434BA" w:rsidRDefault="001434BA" w:rsidP="00DE5A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1434BA" w:rsidRDefault="001434BA" w:rsidP="00DE5A73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A73" w:rsidRDefault="00DE5A73" w:rsidP="00DE5A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613.63-02:[612.017.1+612.43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З-177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Зайцева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Иммунная и нейроэндокринная регуляция в условиях воздействия химических факторов различного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генеза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 монография / Н. В.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Зайцева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Д. В. Ланин, В. А.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Черешнев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 Федеральная служба по надзору в сфере защиты прав потребителей и благополучия человека, Федеральное бюджетное учреждение науки "Федеральный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науч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центр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мед</w:t>
      </w:r>
      <w:proofErr w:type="gram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.-</w:t>
      </w:r>
      <w:proofErr w:type="gramEnd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профилактических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управления рисками здоровью населения".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Пермь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Издательство Пермского национального исследовательского политехнического университета,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235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>
        <w:rPr>
          <w:rFonts w:ascii="Arial" w:eastAsia="Times New Roman" w:hAnsi="Arial" w:cs="Arial"/>
          <w:sz w:val="24"/>
          <w:szCs w:val="24"/>
          <w:lang w:eastAsia="ru-RU"/>
        </w:rPr>
        <w:t>-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.: с. 201-228. </w:t>
      </w:r>
    </w:p>
    <w:p w:rsidR="00DE5A73" w:rsidRDefault="00DE5A73" w:rsidP="00503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A73" w:rsidRPr="005036D1" w:rsidRDefault="00DE5A73" w:rsidP="00DE5A7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613.63-02:[612.017.1+575.22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З-177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Зайцева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Н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. 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Особенности иммунологических и генетических нарушений человека в условиях дестабилизации среды обитания : монография / Н. В.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Зайцева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О. В. Долгих, Д. Г.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Дианова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 Федеральная служба по надзору в сфере защиты прав потребителей и благополучия человека, Федеральное бюджетное учреждение науки "Федеральный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науч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центр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мед</w:t>
      </w:r>
      <w:proofErr w:type="gram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.-</w:t>
      </w:r>
      <w:proofErr w:type="gramEnd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профилактических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технологий управления рисками здоровью населения".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Пермь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Издательство Пермского национального исследовательского политехнического университета,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299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244-297.</w:t>
      </w:r>
    </w:p>
    <w:p w:rsidR="00DE5A73" w:rsidRDefault="00DE5A73" w:rsidP="00503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036D1" w:rsidRPr="005036D1" w:rsidRDefault="005036D1" w:rsidP="00503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616.152.21:616.12-005.4]:615.22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З-636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Зинчук, В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Коррекция кислородтранспортной функции крови при патологии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сердечно-сосудистой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системы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монография / В. В. Зинчук, С. В.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Гацура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Н. В.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Глуткина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310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 w:rsidR="005B0BD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234-310.</w:t>
      </w:r>
    </w:p>
    <w:p w:rsidR="005B0BDD" w:rsidRDefault="005B0BDD" w:rsidP="005B0B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0BDD" w:rsidRPr="005036D1" w:rsidRDefault="005B0BDD" w:rsidP="005B0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612.127.2:612.111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З-636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Зинчук,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NO-зависимые механизмы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внутриэритроцитарной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регуляции сродства гемоглобина к кислороду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монография / В. В. Зинчук, Т. Л.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Степуро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 под ред. В. В. Зинчука ;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Беларусь, УО "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Гродн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н-т",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Каф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нормальной физиологии.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175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144-175.</w:t>
      </w:r>
    </w:p>
    <w:p w:rsidR="005B0BDD" w:rsidRDefault="005B0BDD" w:rsidP="005B0B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5B0BDD" w:rsidRDefault="005B0BDD" w:rsidP="005B0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612.127.2+612.23]:616-092(075.9)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З-636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Зинчук,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В</w:t>
      </w:r>
      <w:r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Патологическая физиология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кардиореспираторной</w:t>
      </w:r>
      <w:proofErr w:type="spellEnd"/>
      <w:r>
        <w:rPr>
          <w:rFonts w:ascii="Arial" w:eastAsia="Times New Roman" w:hAnsi="Arial" w:cs="Arial"/>
          <w:sz w:val="24"/>
          <w:szCs w:val="24"/>
          <w:lang w:eastAsia="ru-RU"/>
        </w:rPr>
        <w:t xml:space="preserve"> системы : 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>чеб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п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особие для магистрантов учреждений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высш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образования по специальности "Патологическая физиология, физиология" : допущено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М-вом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образования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 / В. В. Зинчук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Беларусь, УО "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Гродн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н-т", [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Каф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>. нормальной физиологии]. -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298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 </w:t>
      </w:r>
      <w:r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293-298.</w:t>
      </w:r>
    </w:p>
    <w:p w:rsidR="005B0BDD" w:rsidRPr="005036D1" w:rsidRDefault="005B0BDD" w:rsidP="005B0BDD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036D1" w:rsidRPr="005036D1" w:rsidRDefault="005036D1" w:rsidP="00503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618.14/.15-007.44:616.62-008.222]-07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Н593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Нечипоренко, А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Н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Диагностика генитального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пролапса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и вызванных им расстройств мочеиспускания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монография / А. Н. Нечипоренко, А. С. Нечипоренко ;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Беларусь, УО "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Гродн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н-т", 2-я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каф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хирургических болезней.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119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в конце глав.</w:t>
      </w:r>
    </w:p>
    <w:p w:rsidR="00DE5A73" w:rsidRDefault="00DE5A73" w:rsidP="00DE5A73">
      <w:pPr>
        <w:spacing w:after="0" w:line="240" w:lineRule="auto"/>
        <w:ind w:left="720"/>
      </w:pPr>
    </w:p>
    <w:p w:rsidR="005036D1" w:rsidRDefault="005036D1" w:rsidP="00503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61:316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С901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br/>
      </w:r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&gt;&lt;</w:t>
      </w:r>
      <w:proofErr w:type="spellStart"/>
      <w:r w:rsidR="001434BA">
        <w:rPr>
          <w:rFonts w:ascii="Arial" w:eastAsia="Times New Roman" w:hAnsi="Arial" w:cs="Arial"/>
          <w:b/>
          <w:bCs/>
          <w:sz w:val="24"/>
          <w:szCs w:val="24"/>
          <w:lang w:val="en-US" w:eastAsia="ru-RU"/>
        </w:rPr>
        <w:t>br</w:t>
      </w:r>
      <w:proofErr w:type="spellEnd"/>
      <w:r w:rsidR="001434BA" w:rsidRPr="001434B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&gt;</w:t>
      </w:r>
      <w:proofErr w:type="spellStart"/>
      <w:r w:rsidRPr="005036D1">
        <w:rPr>
          <w:rFonts w:ascii="Arial" w:eastAsia="Times New Roman" w:hAnsi="Arial" w:cs="Arial"/>
          <w:b/>
          <w:bCs/>
          <w:color w:val="008000"/>
          <w:sz w:val="24"/>
          <w:szCs w:val="24"/>
          <w:lang w:eastAsia="ru-RU"/>
        </w:rPr>
        <w:t>Сурмач</w:t>
      </w:r>
      <w:proofErr w:type="spellEnd"/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 М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Ю</w:t>
      </w:r>
      <w:r w:rsidR="00DE5A73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.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Социология медицины: предмет, методология и сферы применения в Республике Беларусь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монография / М. Ю.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Сурмач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;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М-во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здравоохранения 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Респ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Беларусь, УО "</w:t>
      </w:r>
      <w:proofErr w:type="spellStart"/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Гродн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гос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 мед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.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у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н-т", [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Каф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. общественного здоровья и здравоохранения].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Гродно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5036D1">
        <w:rPr>
          <w:rFonts w:ascii="Arial" w:eastAsia="Times New Roman" w:hAnsi="Arial" w:cs="Arial"/>
          <w:color w:val="008000"/>
          <w:sz w:val="24"/>
          <w:szCs w:val="24"/>
          <w:lang w:eastAsia="ru-RU"/>
        </w:rPr>
        <w:t>ГрГМУ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, 2016. </w:t>
      </w:r>
      <w:r w:rsidR="00DE5A73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315 с.</w:t>
      </w:r>
      <w:proofErr w:type="gram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:</w:t>
      </w:r>
      <w:proofErr w:type="gram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рис., табл. </w:t>
      </w:r>
      <w:r w:rsidR="005B0BDD">
        <w:rPr>
          <w:rFonts w:ascii="Arial" w:eastAsia="Times New Roman" w:hAnsi="Arial" w:cs="Arial"/>
          <w:sz w:val="24"/>
          <w:szCs w:val="24"/>
          <w:lang w:eastAsia="ru-RU"/>
        </w:rPr>
        <w:t>–</w:t>
      </w:r>
      <w:r w:rsidRPr="005036D1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proofErr w:type="spellStart"/>
      <w:r w:rsidRPr="005036D1">
        <w:rPr>
          <w:rFonts w:ascii="Arial" w:eastAsia="Times New Roman" w:hAnsi="Arial" w:cs="Arial"/>
          <w:sz w:val="24"/>
          <w:szCs w:val="24"/>
          <w:lang w:eastAsia="ru-RU"/>
        </w:rPr>
        <w:t>Библиогр</w:t>
      </w:r>
      <w:proofErr w:type="spellEnd"/>
      <w:r w:rsidRPr="005036D1">
        <w:rPr>
          <w:rFonts w:ascii="Arial" w:eastAsia="Times New Roman" w:hAnsi="Arial" w:cs="Arial"/>
          <w:sz w:val="24"/>
          <w:szCs w:val="24"/>
          <w:lang w:eastAsia="ru-RU"/>
        </w:rPr>
        <w:t>.: с. 290-315.</w:t>
      </w:r>
    </w:p>
    <w:p w:rsidR="00DE5A73" w:rsidRPr="005036D1" w:rsidRDefault="00DE5A73" w:rsidP="005036D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5B0BDD" w:rsidRDefault="005B0BDD" w:rsidP="005B0BDD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:rsidR="00DE5A73" w:rsidRDefault="00DE5A73" w:rsidP="005036D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sectPr w:rsidR="00DE5A73" w:rsidSect="009D12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36D1"/>
    <w:rsid w:val="00001C9A"/>
    <w:rsid w:val="001434BA"/>
    <w:rsid w:val="005036D1"/>
    <w:rsid w:val="005B0BDD"/>
    <w:rsid w:val="0070608D"/>
    <w:rsid w:val="008C4618"/>
    <w:rsid w:val="009D12FD"/>
    <w:rsid w:val="009E4242"/>
    <w:rsid w:val="00C1410F"/>
    <w:rsid w:val="00DE5A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24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9E4242"/>
    <w:rPr>
      <w:b/>
      <w:bCs/>
    </w:rPr>
  </w:style>
  <w:style w:type="character" w:styleId="a4">
    <w:name w:val="Emphasis"/>
    <w:basedOn w:val="a0"/>
    <w:uiPriority w:val="20"/>
    <w:qFormat/>
    <w:rsid w:val="009E424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6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1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607</Words>
  <Characters>3461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libr</dc:creator>
  <cp:keywords/>
  <dc:description/>
  <cp:lastModifiedBy>Administrator</cp:lastModifiedBy>
  <cp:revision>3</cp:revision>
  <dcterms:created xsi:type="dcterms:W3CDTF">2017-02-28T10:53:00Z</dcterms:created>
  <dcterms:modified xsi:type="dcterms:W3CDTF">2017-03-01T12:25:00Z</dcterms:modified>
</cp:coreProperties>
</file>