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7F" w:rsidRDefault="0075167F" w:rsidP="0075167F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616.36-002-07-08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М704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Мицура</w:t>
      </w:r>
      <w:proofErr w:type="spellEnd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В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</w:p>
    <w:p w:rsidR="0075167F" w:rsidRDefault="0075167F" w:rsidP="0075167F">
      <w:pP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Гепатит С вирусная инфекция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(диагностика, структура клинических проявлений и исходов, молекулярно-генетические и иммунные механизмы патогенеза, лечение в современных условиях) : [монография] / В. М.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Мицура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Е. В. Воропаев, С. В. Жаворонок.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Минск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Новое знание,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301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258-301.</w:t>
      </w:r>
    </w:p>
    <w:p w:rsid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216" w:lineRule="exact"/>
        <w:ind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В монографии на основе анализа данных современной литературы и результатов собственной работы обсуждаются различные аспекты эпидемиологии, патогенеза, клиники, диагностики, лечения вирусного гепатита С. Особое внимание уделено исходу в цирроз печени, роли алкоголя, молекулярно-генетическим и иммунным механизмам в прогрессировании инфекции. Отдельная глава посвящена перспективам лечения хронического гепатита</w:t>
      </w:r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С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, в том числе у ВИЧ-инфицированных пациентов.</w:t>
      </w:r>
    </w:p>
    <w:p w:rsidR="00552DA2" w:rsidRPr="00552DA2" w:rsidRDefault="00552DA2" w:rsidP="00552DA2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ля инфекционистов, гастроэнтерологов, специалистов в области лабораторной диагностики, занимающихся вопросами оказания по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мощи пациентам с </w:t>
      </w:r>
      <w:r w:rsidRPr="00552DA2">
        <w:rPr>
          <w:rFonts w:ascii="Times New Roman" w:eastAsia="Times New Roman" w:hAnsi="Times New Roman"/>
          <w:sz w:val="18"/>
          <w:szCs w:val="18"/>
          <w:lang w:val="en-US"/>
        </w:rPr>
        <w:t>HCV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-инфекцией, аспирантов и студентов меди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цинских вузов.</w:t>
      </w:r>
    </w:p>
    <w:p w:rsidR="00552DA2" w:rsidRP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75167F" w:rsidRDefault="0075167F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5167F" w:rsidRP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616.7-079.4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И633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Инзель</w:t>
      </w:r>
      <w:proofErr w:type="spellEnd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Т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75167F" w:rsidRPr="00552DA2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Дифференциальная диагностика заболеваний опорно-двигательного аппарата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практ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рук. / Т. Н.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Инзель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–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сква : МИА,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271 с.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270-271.</w:t>
      </w:r>
    </w:p>
    <w:p w:rsid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192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В практическом руководстве представлены алгоритмы диф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ференциальной диагностики заболеваний опорно-двигательного аппарата. Рассмотрены симптомы и отличительные признаки травматических поражений, патологий, обусловленных профес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сиональной деятельностью, наследственных и воспалительных заболеваний. Подробно описываются болевые синдромы неврогенного происхождения, боли, вызванные поражениями сосу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дов, костной, хрящевой и мышечной ткани, опухолями.</w:t>
      </w:r>
    </w:p>
    <w:p w:rsidR="00552DA2" w:rsidRPr="00552DA2" w:rsidRDefault="00552DA2" w:rsidP="00552DA2">
      <w:pPr>
        <w:spacing w:after="0" w:line="192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ля врачей различных специальностей — терапевтов, не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врологов, ревматологов, хирургов, онкологов, физиотерапевтов, а также студентов медицинских вузов.</w:t>
      </w: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616.97+616.98:578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К477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Клаттербак</w:t>
      </w:r>
      <w:proofErr w:type="spellEnd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, Дэн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Инфекции, передающиеся половым путем, и ВИЧ-инфекция / Дэн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Клаттербак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 пер. с англ. под общ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ед. В. В. Покровского, Н. Н.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Потекаева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Практическая медицина, 2013.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266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конце разд.</w:t>
      </w:r>
    </w:p>
    <w:p w:rsid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202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 xml:space="preserve">Книга содержит практические советы, которые </w:t>
      </w:r>
      <w:proofErr w:type="gramStart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помогут</w:t>
      </w:r>
      <w:proofErr w:type="gramEnd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 xml:space="preserve"> прежде всего молодым специалистам по лечению заболеваний мочеполовой системы.</w:t>
      </w:r>
    </w:p>
    <w:p w:rsidR="00552DA2" w:rsidRPr="00552DA2" w:rsidRDefault="00552DA2" w:rsidP="00552DA2">
      <w:pPr>
        <w:spacing w:after="0" w:line="202" w:lineRule="exact"/>
        <w:ind w:left="20" w:right="20" w:firstLine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Подробно изложены рекомендации по диагностике и лечению наиболее часто встречающих</w:t>
      </w:r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softHyphen/>
        <w:t>ся заболеваний, а также тех нозологических форм, которые представляют наибольшую слож</w:t>
      </w:r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softHyphen/>
        <w:t xml:space="preserve">ность для начинающих врачей. Отдельные главы посвящены </w:t>
      </w:r>
      <w:proofErr w:type="spellStart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хламидиозу</w:t>
      </w:r>
      <w:proofErr w:type="spellEnd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, гонорее, инфекциям половых органов, вирусным гепатитам. В главах по ВИЧ-инфекции основное внимание уделяется амбулаторному лечению в специализированных клиниках, а также в медицинских учреждениях общего профиля с акцентом на целостный подход к ведению данных больных, а также на приме</w:t>
      </w:r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softHyphen/>
        <w:t xml:space="preserve">нение </w:t>
      </w:r>
      <w:proofErr w:type="spellStart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антиретровирусной</w:t>
      </w:r>
      <w:proofErr w:type="spellEnd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 xml:space="preserve"> терапии.</w:t>
      </w:r>
    </w:p>
    <w:p w:rsidR="00552DA2" w:rsidRPr="00552DA2" w:rsidRDefault="00552DA2" w:rsidP="00552DA2">
      <w:pPr>
        <w:spacing w:after="0" w:line="202" w:lineRule="exact"/>
        <w:ind w:left="20" w:firstLine="1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Д</w:t>
      </w:r>
      <w:proofErr w:type="gramEnd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 xml:space="preserve">ля </w:t>
      </w:r>
      <w:proofErr w:type="spellStart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дерматовенерологов</w:t>
      </w:r>
      <w:proofErr w:type="spellEnd"/>
      <w:r w:rsidRPr="00552DA2">
        <w:rPr>
          <w:rFonts w:ascii="Trebuchet MS" w:eastAsia="Times New Roman" w:hAnsi="Trebuchet MS" w:cs="Trebuchet MS"/>
          <w:sz w:val="14"/>
          <w:szCs w:val="14"/>
          <w:lang w:eastAsia="ru-RU"/>
        </w:rPr>
        <w:t>, гинекологов, инфекционистов.</w:t>
      </w: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0A67EB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618.19-006.6-085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Л43</w:t>
      </w:r>
    </w:p>
    <w:p w:rsidR="0075167F" w:rsidRPr="00552DA2" w:rsidRDefault="0075167F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Лекарственная терапия рака</w:t>
      </w:r>
      <w:r w:rsidRPr="000A67EB">
        <w:rPr>
          <w:rFonts w:ascii="Arial" w:eastAsia="Times New Roman" w:hAnsi="Arial" w:cs="Arial"/>
          <w:color w:val="000000"/>
          <w:sz w:val="27"/>
          <w:lang w:eastAsia="ru-RU"/>
        </w:rPr>
        <w:t> 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молочной железы / [Н. И.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Переводчикова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 др.]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под ред. Н. И.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Переводчиковой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, М. Б.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Стениной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Практика,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284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(Современная российская медицина).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конце гл.</w:t>
      </w:r>
    </w:p>
    <w:p w:rsidR="00552DA2" w:rsidRPr="00552DA2" w:rsidRDefault="00552DA2" w:rsidP="00552DA2">
      <w:pPr>
        <w:spacing w:after="0" w:line="206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Книга содержит информацию о современных методах лекарственной терапии раннего и распространенного рака молочной железы. Подроб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но рассмотрены молекулярная классификация рака молочной железы и ее значение для подбора индивидуального лечения. Представлены све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дения о лекарственных средствах, используемых на различных этапах системной терапии (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неоадъювантная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и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адъювантная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терапия, лечение метастатической болезни). Большое внимание уделено обсуждению принципов лечения в соответствии с действующими международными стандартами по лечению рака молочной железы. </w:t>
      </w:r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В доступной форме описаны методика проведения и диагностическое значение гистологи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ческого и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иммуногистохимического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исследований.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Рассматриваются современные возможности лечения костных метастазов и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остеопороза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у больных, получающих противоопухолевую терапию. В книгу включе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ны специальные разделы, касающиеся лекарственной профилактики рака молочной железы, а также некоторых аспектов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фармакоэкономического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анализа.</w:t>
      </w:r>
    </w:p>
    <w:p w:rsidR="00552DA2" w:rsidRPr="00552DA2" w:rsidRDefault="00552DA2" w:rsidP="00552DA2">
      <w:pPr>
        <w:spacing w:after="0" w:line="206" w:lineRule="exact"/>
        <w:ind w:left="20" w:righ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ля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химиотерапевтов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и врачей других специальностей, занимающихся лечением рака молочной железы.</w:t>
      </w:r>
    </w:p>
    <w:p w:rsidR="00552DA2" w:rsidRP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0A67EB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616.89:616.1/.9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Л436</w:t>
      </w:r>
    </w:p>
    <w:p w:rsid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Лекции по 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психосоматике</w:t>
      </w:r>
      <w:proofErr w:type="spellEnd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 под ред. А. Б. Смулевича.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МИА,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340, [2]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342.</w:t>
      </w:r>
    </w:p>
    <w:p w:rsidR="0075167F" w:rsidRDefault="0075167F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192" w:lineRule="exact"/>
        <w:ind w:left="20" w:right="20" w:firstLine="2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 xml:space="preserve">В настоящем издании представлены избранные лекции авторского коллектива кафедры психиатрии и </w:t>
      </w:r>
      <w:proofErr w:type="spellStart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психосоматики</w:t>
      </w:r>
      <w:proofErr w:type="spell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 xml:space="preserve"> ФППОВ ГБОУ ВПО</w:t>
      </w:r>
      <w:proofErr w:type="gramStart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 xml:space="preserve"> П</w:t>
      </w:r>
      <w:proofErr w:type="gram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ервый МГМУ им. И.М. Се</w:t>
      </w: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softHyphen/>
        <w:t>ченова, посвященные актуальным проблемам современной психосоматической меди</w:t>
      </w: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softHyphen/>
        <w:t>цины. Обобщаются данные литературы и многолетний опыт деятельности кафедры в рамках междисциплинарного взаимодействия с другими подразделениями</w:t>
      </w:r>
      <w:proofErr w:type="gramStart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 xml:space="preserve"> П</w:t>
      </w:r>
      <w:proofErr w:type="gram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ервого МГМУ им. И.М. Сеченова (кафедра факультетской терапии № 1, клиники кардиологии, кожных и венерических болезней) и Российским онкологическим научным центром РАМН им. Н.Н. Блохина. Начиная с вводной лекции, читатель получает информацию о принципиально новой авторской модели психосоматической патологии, не только расширяющей теоретические представления об этой сфере медицинской науки, но и позволяющей определить принципы диагностики и терапии. Приводятся современные данные об эпидемиологии психосоматических расстройств в общей медицине, вклю</w:t>
      </w: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softHyphen/>
        <w:t>чающие результаты масштабных исследований, выполненных на кафедре. Освещаются сложные психосоматические зависимости, характеризующие как психические расстрой</w:t>
      </w: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softHyphen/>
        <w:t>ства, непосредственно связанные с соматической патологией (</w:t>
      </w:r>
      <w:proofErr w:type="spellStart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соматогении</w:t>
      </w:r>
      <w:proofErr w:type="spell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 xml:space="preserve">, </w:t>
      </w:r>
      <w:proofErr w:type="spellStart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нозогении</w:t>
      </w:r>
      <w:proofErr w:type="spell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), так и формирующиеся в телесной сфере вне такой связи (</w:t>
      </w:r>
      <w:proofErr w:type="spellStart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соматопсихоз</w:t>
      </w:r>
      <w:proofErr w:type="spell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, ипохондрия и др.). Представлены «профильные» характеристики психопатологических образований при разных общемедицинских дисциплинах (кардиология, онкология, дерматология и др.). Рассматриваются вопросы суицидального риска в общемедицинской практике, основы терапии психосоматических расстройств, методики применения психотропных средств и принципы организации помощи этому контингенту. Каждая лекция снабже</w:t>
      </w: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softHyphen/>
        <w:t>на иллюстрациями и кратким библиографическим списком; приводится также список рекомендуемой литературы.</w:t>
      </w:r>
    </w:p>
    <w:p w:rsidR="00552DA2" w:rsidRPr="00552DA2" w:rsidRDefault="00552DA2" w:rsidP="00552DA2">
      <w:pPr>
        <w:spacing w:after="0" w:line="192" w:lineRule="exact"/>
        <w:ind w:left="20" w:right="20" w:firstLine="2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Д</w:t>
      </w:r>
      <w:proofErr w:type="gramEnd"/>
      <w:r w:rsidRPr="00552DA2">
        <w:rPr>
          <w:rFonts w:ascii="Trebuchet MS" w:eastAsia="Times New Roman" w:hAnsi="Trebuchet MS" w:cs="Trebuchet MS"/>
          <w:sz w:val="13"/>
          <w:szCs w:val="13"/>
          <w:lang w:eastAsia="ru-RU"/>
        </w:rPr>
        <w:t>ля психиатров, интернистов, психотерапевтов и медицинских психологов и может быть рекомендовано слушателям системы последипломного образования.</w:t>
      </w: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5167F" w:rsidRPr="000A67EB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t>616.857</w:t>
      </w:r>
      <w:r w:rsidRPr="000A67EB">
        <w:rPr>
          <w:rFonts w:ascii="Arial" w:eastAsia="Times New Roman" w:hAnsi="Arial" w:cs="Arial"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М576</w:t>
      </w:r>
    </w:p>
    <w:p w:rsid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Мигрень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патогенез, клиника, фармакотерапия : рук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врачей / А. В.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Амелин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[и др.].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3-е изд.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Москва :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МЕДпресс-информ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255 с., [2] л.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цв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ил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: 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213-255.</w:t>
      </w:r>
    </w:p>
    <w:p w:rsidR="0075167F" w:rsidRDefault="0075167F" w:rsidP="007516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178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t>В книге рассмотрены исторические и современные нейрофизиологические, нейрохими</w:t>
      </w:r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softHyphen/>
        <w:t xml:space="preserve">ческие и клинические аспекты мигрени. Проанализированы основные проблемы диагностики мигрени и других острых и хронических головных болей. Обсуждены причины </w:t>
      </w:r>
      <w:proofErr w:type="spellStart"/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t>гипердиагно</w:t>
      </w:r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softHyphen/>
        <w:t>стики</w:t>
      </w:r>
      <w:proofErr w:type="spellEnd"/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t xml:space="preserve"> симптоматических головных болей и необоснованного применения некоторых методов инструментальной диагностики. На основе международных исследований и собственного опыта проведен сравнительный анализ эффективности и безопасности лекарственных средств, исполь</w:t>
      </w:r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softHyphen/>
        <w:t>зуемых при лечении мигрени, сформулированы рекомендации по их рациональному выбору.</w:t>
      </w:r>
    </w:p>
    <w:p w:rsidR="00552DA2" w:rsidRPr="00552DA2" w:rsidRDefault="00552DA2" w:rsidP="00552DA2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t>Книга  предназначена для неврологов, терапевтов, клинических фармакологов, нейрофи</w:t>
      </w:r>
      <w:r w:rsidRPr="00552DA2">
        <w:rPr>
          <w:rFonts w:ascii="Times New Roman" w:eastAsia="Times New Roman" w:hAnsi="Times New Roman"/>
          <w:sz w:val="15"/>
          <w:szCs w:val="15"/>
          <w:lang w:eastAsia="ru-RU"/>
        </w:rPr>
        <w:softHyphen/>
        <w:t>зиологов.</w:t>
      </w: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52DA2" w:rsidRPr="00552DA2" w:rsidRDefault="00552DA2" w:rsidP="0075167F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5167F" w:rsidRPr="000A67EB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616-056.25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М79</w:t>
      </w:r>
    </w:p>
    <w:p w:rsidR="0075167F" w:rsidRDefault="0075167F" w:rsidP="0075167F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Морбидное</w:t>
      </w:r>
      <w:proofErr w:type="spellEnd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ожирение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/ под общ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ед. И. И. Дедова.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МИА,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605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конце глав.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599-603.</w:t>
      </w:r>
    </w:p>
    <w:p w:rsidR="0075167F" w:rsidRDefault="0075167F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240" w:lineRule="exact"/>
        <w:ind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Рассмотрены проблемы этиологии, патогенеза, диагностики и лечения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морбидного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ожирения. Особое внимание уделено вопросам центральной и периферической регуляции пищевого поведения, его нарушений при ожи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рении, детально рассмотрены функции жировой ткани как эндокринного органа. Показана ведущая роль ожирения в развитии ряда серьезных сома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тических заболеваний. Представленные дифференциально-диагностические и терапевтические алгоритмы отражают доказательную концепцию между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народных и отечественных клинических рекомендаций и консенсусов, в том числе в отношении хирургических методов лечения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морбидного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ожирения и социально-психологических особенностей пациентов и их коррекции.</w:t>
      </w:r>
    </w:p>
    <w:p w:rsidR="00552DA2" w:rsidRPr="00552DA2" w:rsidRDefault="00552DA2" w:rsidP="00552DA2">
      <w:pPr>
        <w:spacing w:after="0" w:line="240" w:lineRule="exact"/>
        <w:ind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Суммированы современные подходы профилактики ожирения, пред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ставлена позиция Всемирной организации здравоохранения по вопросам предотвращения ожирения как эпидемии нашего времени.</w:t>
      </w:r>
    </w:p>
    <w:p w:rsidR="00552DA2" w:rsidRPr="00552DA2" w:rsidRDefault="00552DA2" w:rsidP="00552DA2">
      <w:pPr>
        <w:spacing w:after="0" w:line="240" w:lineRule="exact"/>
        <w:ind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ля врачей-эндокринологов, оказывающих специализированную меди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цинскую помощь, терапевтов,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бариатрических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хирургов, психологов, семей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ных врачей.</w:t>
      </w: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605FE" w:rsidRPr="00A605FE" w:rsidRDefault="00A605FE" w:rsidP="00A605FE">
      <w:pP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616.8(075.8)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Ф348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Федулов, Александр Сергеевич.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</w:p>
    <w:p w:rsidR="00A605FE" w:rsidRDefault="00A605FE" w:rsidP="00A605FE">
      <w:pP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Неврология и нейрохирургия : учеб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особие для студ. учреждений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высш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образования по специальностям: "Лечебное дело", "Педиатрия"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допущено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М-вом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образования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Беларусь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в 2 ч. / А. С. Федулов, Е. С.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Нургужаев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Минск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Новое знание, [настоящая дата выхода 2014 год] 2015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304 </w:t>
      </w:r>
      <w:proofErr w:type="gramStart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</w:t>
      </w:r>
      <w:proofErr w:type="gramEnd"/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52DA2" w:rsidRPr="00552DA2" w:rsidRDefault="00552DA2" w:rsidP="00552DA2">
      <w:pPr>
        <w:spacing w:after="0" w:line="245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В книге представлены данные о нейроанатомии и нейрофизиологии, со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временные сведения о технологии исследования функционального состояния нервной системы с целью определения локализации поражения, аккумулиро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ваны основные симптомы и синдромы поражения.</w:t>
      </w:r>
    </w:p>
    <w:p w:rsidR="00552DA2" w:rsidRPr="00552DA2" w:rsidRDefault="00552DA2" w:rsidP="00552DA2">
      <w:pPr>
        <w:spacing w:after="0" w:line="245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Предназначена для студентов медицинских вузов, может быть использо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вана при обучении врачей различных специальностей: неврологов, нейрохи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рургов, психиатров, врачей общей практики, педиатров, офтальмологов,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ото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риноларингологов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.</w:t>
      </w: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605FE" w:rsidRDefault="00A605FE" w:rsidP="00A605FE">
      <w:pP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613.67(075.8)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О-753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Основы военной гигиены</w:t>
      </w:r>
      <w:r>
        <w:rPr>
          <w:rFonts w:ascii="Arial" w:eastAsia="Times New Roman" w:hAnsi="Arial" w:cs="Arial"/>
          <w:color w:val="000000"/>
          <w:sz w:val="27"/>
          <w:lang w:eastAsia="ru-RU"/>
        </w:rPr>
        <w:t xml:space="preserve">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: учеб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особие для студ. учреждений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высш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образования по специальностям: "Медико-профилактическое дело", "Лечебное дело", "Педиатрия"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допущено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М-вом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образования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Респ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Беларусь / [В. И. Дорошевич и др.].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Минск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Новое знание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Москва : ИНФРА-М,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188, [1]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(Высшее образование).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189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552DA2" w:rsidRPr="00552DA2" w:rsidRDefault="00552DA2" w:rsidP="00552DA2">
      <w:pPr>
        <w:spacing w:after="0" w:line="216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Представлены основные разделы военной гигиены с учетом совре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менных достижений гигиенической науки. Приведены базовые гигие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нические требования и особенности условий жизнедеятельности во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еннослужащих. При написании пособия учтены требования современ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ных нормативных актов.</w:t>
      </w:r>
    </w:p>
    <w:p w:rsidR="00552DA2" w:rsidRPr="00552DA2" w:rsidRDefault="00552DA2" w:rsidP="00552DA2">
      <w:pPr>
        <w:spacing w:after="0" w:line="216" w:lineRule="exact"/>
        <w:ind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ля студентов медико-профилактических, лечебных, педиатричес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ких факультетов медицинских вузов.</w:t>
      </w: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A605FE" w:rsidRPr="00A605FE" w:rsidRDefault="00A605FE" w:rsidP="00A605F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616.5-007.61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О-545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Олисова, О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Ю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A605FE" w:rsidRDefault="00A605FE" w:rsidP="00A605F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Псевдолимфомы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кожи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[монография] / О. Ю. Олисова, Н. С.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Потекаев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Практика, 2013.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138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цв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(Современная российская медицина).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126-138.</w:t>
      </w:r>
    </w:p>
    <w:p w:rsidR="00552DA2" w:rsidRDefault="00552DA2" w:rsidP="00A605F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259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Монография посвящена группе малоизвестных дерматозов, обусловлен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ных гиперплазией лимфоидной ткани -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псевдолимфомам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кожи. Подроб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но </w:t>
      </w:r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изложены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этиология, патогенез, классификация, клиническая и мор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фологическая картина, а также диагностика этих заболеваний. Особое внимание уделено дифференциальной диагностике и лечению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псевдолимфом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кожи.</w:t>
      </w:r>
    </w:p>
    <w:p w:rsidR="00552DA2" w:rsidRPr="00552DA2" w:rsidRDefault="00552DA2" w:rsidP="00552DA2">
      <w:pPr>
        <w:spacing w:after="0" w:line="259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Книга предназначена для дерматологов.</w:t>
      </w:r>
    </w:p>
    <w:p w:rsidR="00552DA2" w:rsidRPr="00552DA2" w:rsidRDefault="00552DA2" w:rsidP="00A605F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A605FE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A605FE" w:rsidRDefault="0075167F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A605FE" w:rsidRPr="00A605FE" w:rsidRDefault="00A605FE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616-008.9-074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Р754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Рослый, И</w:t>
      </w:r>
      <w:r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.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М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A605FE" w:rsidRDefault="00A605FE" w:rsidP="00A605FE">
      <w:pPr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lastRenderedPageBreak/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Правила чтения биохимического анализа : рук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д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ля врача / И. М. Рослый, М. Г.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Водолажская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2-е изд.,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испр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и доп.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 : МИА, 2014.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97 с.</w:t>
      </w:r>
      <w:proofErr w:type="gram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93-96.</w:t>
      </w:r>
    </w:p>
    <w:p w:rsidR="00552DA2" w:rsidRPr="00552DA2" w:rsidRDefault="00552DA2" w:rsidP="00552DA2">
      <w:pPr>
        <w:spacing w:after="0" w:line="211" w:lineRule="exact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Руководство предназначено врачу любой специальности. Изу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чение медицинской биохимии читателю предложено начать с отбо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ра и врачебного осмысления той информации из фундаментальной биохимии, которая необходима врачу для практического использо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вания в конкретной ситуации с конкретным пациентом. Одновре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менно эта информация должна дать ориентиры на глубинное (вплоть до молекулярного уровня) понимание патологии с учетом основных биохимических процессов, которые более известны в теории как па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тогенетические механизмы и редко упоминаются (хотя непременно должны упоминаться) в практике врача.</w:t>
      </w:r>
    </w:p>
    <w:p w:rsidR="00552DA2" w:rsidRPr="00552DA2" w:rsidRDefault="00552DA2" w:rsidP="00552DA2">
      <w:pPr>
        <w:spacing w:after="0" w:line="211" w:lineRule="exact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С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емнадцать правил чтения биохимического анализа представле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ны в виде текста, цветных иллюстрированных схем, кратких формул и комментариев, что делает медицинский курс доходчивым для ши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рокого круга читателей: студентов медицинских университетов, акаде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мий, факультетов, врачей, научных сотрудников, абитуриентов. Книга адаптирована для любознательного человека, который интересуется собственным организмом, хочет иметь современные научные пред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ставления о самом себе.</w:t>
      </w:r>
    </w:p>
    <w:p w:rsidR="00552DA2" w:rsidRPr="00552DA2" w:rsidRDefault="00552DA2" w:rsidP="00552DA2">
      <w:pPr>
        <w:spacing w:after="0" w:line="211" w:lineRule="exact"/>
        <w:ind w:left="20" w:right="20" w:firstLine="3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Руководство подготовлено главным научным сотрудником НИИ общей патологии и патофизиологии РАМН, ведущим научным со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трудником ЦНИИ эпидемиологии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Роспотребнадзора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РФ, д.м.н. Игорем Михайловичем Рослым.</w:t>
      </w: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A605FE">
      <w:pPr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A605FE" w:rsidRDefault="0075167F" w:rsidP="00C148E3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</w:pPr>
    </w:p>
    <w:p w:rsidR="0075167F" w:rsidRPr="00552DA2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616.12-005.4-089</w:t>
      </w:r>
      <w:r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="0075167F"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</w:t>
      </w:r>
      <w:r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405</w:t>
      </w:r>
      <w:r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="0075167F"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Жбанов</w:t>
      </w:r>
      <w:r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И</w:t>
      </w:r>
      <w:r w:rsidRPr="00552DA2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. 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В</w:t>
      </w:r>
      <w:r w:rsidRPr="00552DA2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 </w:t>
      </w:r>
    </w:p>
    <w:p w:rsidR="00C148E3" w:rsidRDefault="0075167F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Реконструктивная хирургия осложненных форм ишемической болезни сердца / И. В. Жбанов, А. В. Молочков, Б. В. Шабалкин.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Практика, 2013.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152 с.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рис., табл.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(Современная российская медицина).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указ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.: 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 150-152.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.: с. 138-149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</w:p>
    <w:p w:rsidR="00C148E3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Default="00552DA2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202" w:lineRule="exact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Книга, написанная ведущими российскими кардиохирургами, посвя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щена хирургическому лечению тяжелых осложнений ишемической бо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лезни сердца, таких как постинфарктная аневризма левого желудочка, ишемическая митральная недостаточность и постинфарктный разрыв межжелудочковой перегородки. Наряду с методами хирургической коррекции представлены механизмы развития и диагностика осложне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ний, клиническая характеристика больных и отдаленные результаты лечения.</w:t>
      </w:r>
    </w:p>
    <w:p w:rsidR="00552DA2" w:rsidRPr="00552DA2" w:rsidRDefault="00552DA2" w:rsidP="00552DA2">
      <w:pPr>
        <w:spacing w:after="0" w:line="240" w:lineRule="auto"/>
        <w:ind w:left="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Д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ля кардиохирургов, кардиологов, студентов медицинских вузов.</w:t>
      </w: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75167F" w:rsidRPr="0075167F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616.1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Л34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Левайн</w:t>
      </w:r>
      <w:proofErr w:type="spellEnd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, </w:t>
      </w:r>
      <w:proofErr w:type="spellStart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Гленн</w:t>
      </w:r>
      <w:proofErr w:type="spellEnd"/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Н</w:t>
      </w:r>
      <w:r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</w:t>
      </w: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C148E3" w:rsidRDefault="0075167F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Секреты кардиологии /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Гленн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Н.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Левайн</w:t>
      </w:r>
      <w:proofErr w:type="spellEnd"/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;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пер. с англ. под ред. С. Н. Терещенко.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2-е изд.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Москва :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МЕДпресс-информ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, 2014.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542 с.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рис.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конце гл.</w:t>
      </w: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552DA2" w:rsidRPr="00552DA2" w:rsidRDefault="00552DA2" w:rsidP="00552DA2">
      <w:pPr>
        <w:spacing w:after="0" w:line="216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Книга содержит информацию об особенностях диагностики и лечения основных заболеваний </w:t>
      </w:r>
      <w:proofErr w:type="spellStart"/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сердечно-сосудистой</w:t>
      </w:r>
      <w:proofErr w:type="spellEnd"/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системы, представленную в виде ответов на наиболее часто возникающие в клинической практике вопросы. В первом разделе «"Горячая сотня" секретов» собраны базовые аксиомы кардиологии, в которых суммированы основные концепции, принципы и тонкости этой специальности. Далее рассматриваются основные диагностические процедуры, используемые в кардиологии, различные </w:t>
      </w:r>
      <w:proofErr w:type="spellStart"/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сердечно-сосудистые</w:t>
      </w:r>
      <w:proofErr w:type="spellEnd"/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синдромы и заболевания, а также другие меди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цинские 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lastRenderedPageBreak/>
        <w:t xml:space="preserve">состояния с вовлечением сердца. Большое внимание уделено первичной и вторичной профилактике </w:t>
      </w:r>
      <w:proofErr w:type="spellStart"/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сердечно-сосудистых</w:t>
      </w:r>
      <w:proofErr w:type="spellEnd"/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заболеваний.</w:t>
      </w:r>
    </w:p>
    <w:p w:rsidR="00552DA2" w:rsidRPr="00552DA2" w:rsidRDefault="00552DA2" w:rsidP="00552DA2">
      <w:pPr>
        <w:spacing w:after="0" w:line="216" w:lineRule="exact"/>
        <w:ind w:left="20" w:right="20" w:firstLine="28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Книга предназначена для врачей-кардиологов, а также для врачей смежных специальностей, ординаторов и студентов медицинских вузов.</w:t>
      </w: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148E3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C148E3" w:rsidRPr="000A67EB" w:rsidRDefault="00C148E3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616.43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br/>
      </w:r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 w:rsidR="0075167F"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="0075167F"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r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Э72</w:t>
      </w:r>
    </w:p>
    <w:p w:rsidR="00C148E3" w:rsidRDefault="0075167F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color w:val="000000"/>
          <w:sz w:val="27"/>
          <w:szCs w:val="27"/>
          <w:lang w:val="en-US" w:eastAsia="ru-RU"/>
        </w:rPr>
        <w:t>br</w:t>
      </w:r>
      <w:proofErr w:type="spellEnd"/>
      <w:r w:rsidRPr="0075167F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&gt;</w:t>
      </w:r>
      <w:proofErr w:type="spellStart"/>
      <w:r w:rsidR="00C148E3"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>Эпонимические</w:t>
      </w:r>
      <w:proofErr w:type="spellEnd"/>
      <w:r w:rsidR="00C148E3" w:rsidRPr="000A67EB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синдромы в</w:t>
      </w:r>
      <w:r w:rsidR="00C148E3">
        <w:rPr>
          <w:rFonts w:ascii="Arial" w:eastAsia="Times New Roman" w:hAnsi="Arial" w:cs="Arial"/>
          <w:b/>
          <w:bCs/>
          <w:color w:val="000000"/>
          <w:sz w:val="27"/>
          <w:szCs w:val="27"/>
          <w:lang w:eastAsia="ru-RU"/>
        </w:rPr>
        <w:t xml:space="preserve">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эндокринологии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[справочник] / Г. А. Мельниченко [и др.] ; под ред. И. И. Дедова.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Москва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Практика, 2013.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172 с.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: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ил.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(Современная российская медицина).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Библиогр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в конце разд.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– </w:t>
      </w:r>
      <w:proofErr w:type="spell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Предм</w:t>
      </w:r>
      <w:proofErr w:type="spell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. указ</w:t>
      </w:r>
      <w:proofErr w:type="gramStart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.: </w:t>
      </w:r>
      <w:proofErr w:type="gramEnd"/>
      <w:r w:rsidR="00C148E3" w:rsidRPr="000A67E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с. 170-172.</w:t>
      </w:r>
      <w:r w:rsidR="00C148E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552DA2" w:rsidRDefault="00552DA2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C148E3">
      <w:pPr>
        <w:spacing w:after="0" w:line="240" w:lineRule="auto"/>
        <w:rPr>
          <w:rFonts w:ascii="Arial" w:eastAsia="Times New Roman" w:hAnsi="Arial" w:cs="Arial"/>
          <w:color w:val="000000"/>
          <w:sz w:val="27"/>
          <w:szCs w:val="27"/>
          <w:lang w:val="en-US" w:eastAsia="ru-RU"/>
        </w:rPr>
      </w:pPr>
    </w:p>
    <w:p w:rsidR="00552DA2" w:rsidRPr="00552DA2" w:rsidRDefault="00552DA2" w:rsidP="00552DA2">
      <w:pPr>
        <w:spacing w:after="0" w:line="216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Видное место в медицинской терминологии занимают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эпонимические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термины, то есть названия, в которые входят имена собственные. К. этой группе терминов относятся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эпонимические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синдромы - </w:t>
      </w:r>
      <w:proofErr w:type="gram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болезни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назван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ные обычно по имени врачей, которые первыми их описали. Удобство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эпонимических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терминов очевидно: это их краткость. Но очевидно и не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удобство: невозможно понять, что за болезнь скрывается за тем или иным названием, если заранее этого не знать.</w:t>
      </w:r>
    </w:p>
    <w:p w:rsidR="00552DA2" w:rsidRPr="00552DA2" w:rsidRDefault="00552DA2" w:rsidP="00552DA2">
      <w:pPr>
        <w:spacing w:after="180" w:line="211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proofErr w:type="gramStart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В</w:t>
      </w:r>
      <w:proofErr w:type="gram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данной книге собраны сведения об основных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эпонимических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 xml:space="preserve"> синдро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>мах ведущим проявлением которых являются эндокринные расстрой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softHyphen/>
        <w:t xml:space="preserve">ства Описаны их эпидемиология, этиология, патогенез и клиническая картина, даются принципы их диагностики и лечения, приводится 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исто</w:t>
      </w:r>
      <w:proofErr w:type="spellEnd"/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-</w:t>
      </w:r>
    </w:p>
    <w:p w:rsidR="00552DA2" w:rsidRPr="00552DA2" w:rsidRDefault="00552DA2" w:rsidP="00552DA2">
      <w:pPr>
        <w:spacing w:before="180" w:after="0" w:line="254" w:lineRule="exact"/>
        <w:ind w:left="40" w:right="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&gt;&lt;</w:t>
      </w:r>
      <w:proofErr w:type="spellStart"/>
      <w:r w:rsidRPr="00552DA2">
        <w:rPr>
          <w:rFonts w:ascii="Times New Roman" w:eastAsia="Times New Roman" w:hAnsi="Times New Roman"/>
          <w:sz w:val="18"/>
          <w:szCs w:val="18"/>
          <w:lang w:val="en-US"/>
        </w:rPr>
        <w:t>br</w:t>
      </w:r>
      <w:proofErr w:type="spellEnd"/>
      <w:r w:rsidRPr="00552DA2">
        <w:rPr>
          <w:rFonts w:ascii="Times New Roman" w:eastAsia="Times New Roman" w:hAnsi="Times New Roman"/>
          <w:sz w:val="18"/>
          <w:szCs w:val="18"/>
        </w:rPr>
        <w:t>&gt;</w:t>
      </w:r>
      <w:r w:rsidRPr="00552DA2">
        <w:rPr>
          <w:rFonts w:ascii="Times New Roman" w:eastAsia="Times New Roman" w:hAnsi="Times New Roman"/>
          <w:sz w:val="18"/>
          <w:szCs w:val="18"/>
          <w:lang w:eastAsia="ru-RU"/>
        </w:rPr>
        <w:t>Книга адресована эндокринологам, педиатрам, врачам общей практики, студентам медицинских вузов.</w:t>
      </w:r>
    </w:p>
    <w:p w:rsidR="00C148E3" w:rsidRDefault="00C148E3" w:rsidP="00C148E3"/>
    <w:sectPr w:rsidR="00C148E3" w:rsidSect="009D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48E3"/>
    <w:rsid w:val="002A28AF"/>
    <w:rsid w:val="00552DA2"/>
    <w:rsid w:val="0075167F"/>
    <w:rsid w:val="007B7C70"/>
    <w:rsid w:val="009D12FD"/>
    <w:rsid w:val="009E4242"/>
    <w:rsid w:val="00A605FE"/>
    <w:rsid w:val="00C148E3"/>
    <w:rsid w:val="00ED7F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8E3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242"/>
    <w:rPr>
      <w:b/>
      <w:bCs/>
    </w:rPr>
  </w:style>
  <w:style w:type="character" w:styleId="a4">
    <w:name w:val="Emphasis"/>
    <w:basedOn w:val="a0"/>
    <w:uiPriority w:val="20"/>
    <w:qFormat/>
    <w:rsid w:val="009E4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2255</Words>
  <Characters>12856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5</cp:revision>
  <dcterms:created xsi:type="dcterms:W3CDTF">2014-10-31T09:23:00Z</dcterms:created>
  <dcterms:modified xsi:type="dcterms:W3CDTF">2014-11-03T09:59:00Z</dcterms:modified>
</cp:coreProperties>
</file>