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B4" w:rsidRPr="00DF68DB" w:rsidRDefault="00DF68DB">
      <w:pPr>
        <w:rPr>
          <w:rFonts w:ascii="Arial" w:hAnsi="Arial" w:cs="Arial"/>
          <w:b/>
          <w:spacing w:val="10"/>
          <w:sz w:val="40"/>
          <w:szCs w:val="40"/>
          <w:u w:val="single"/>
          <w:lang w:val="en-US"/>
        </w:rPr>
      </w:pPr>
      <w:proofErr w:type="spellStart"/>
      <w:r w:rsidRPr="00DF68DB">
        <w:rPr>
          <w:rFonts w:ascii="Arial" w:hAnsi="Arial" w:cs="Arial"/>
          <w:b/>
          <w:bCs/>
          <w:sz w:val="40"/>
          <w:szCs w:val="40"/>
          <w:u w:val="single"/>
        </w:rPr>
        <w:t>Diagnostics</w:t>
      </w:r>
      <w:proofErr w:type="spellEnd"/>
      <w:r w:rsidRPr="00DF68DB">
        <w:rPr>
          <w:rFonts w:ascii="Arial" w:hAnsi="Arial" w:cs="Arial"/>
          <w:b/>
          <w:bCs/>
          <w:sz w:val="40"/>
          <w:szCs w:val="40"/>
          <w:u w:val="single"/>
          <w:lang w:val="en-US"/>
        </w:rPr>
        <w:t xml:space="preserve"> </w:t>
      </w:r>
      <w:bookmarkStart w:id="0" w:name="bookmark0"/>
      <w:proofErr w:type="spellStart"/>
      <w:r w:rsidRPr="00DF68DB">
        <w:rPr>
          <w:rFonts w:ascii="Arial" w:hAnsi="Arial" w:cs="Arial"/>
          <w:b/>
          <w:spacing w:val="10"/>
          <w:sz w:val="40"/>
          <w:szCs w:val="40"/>
          <w:u w:val="single"/>
        </w:rPr>
        <w:t>immunohistochemical</w:t>
      </w:r>
      <w:bookmarkEnd w:id="0"/>
      <w:proofErr w:type="spellEnd"/>
    </w:p>
    <w:p w:rsidR="00DF68DB" w:rsidRPr="00DF68DB" w:rsidRDefault="00DF68DB" w:rsidP="00DF68DB">
      <w:pPr>
        <w:keepNext/>
        <w:keepLines/>
        <w:spacing w:after="60" w:line="240" w:lineRule="auto"/>
        <w:ind w:left="20"/>
        <w:outlineLvl w:val="0"/>
        <w:rPr>
          <w:rFonts w:ascii="Times New Roman" w:eastAsia="Times New Roman" w:hAnsi="Times New Roman" w:cs="Times New Roman"/>
          <w:sz w:val="24"/>
          <w:szCs w:val="24"/>
          <w:lang w:val="en-US" w:eastAsia="ru-RU"/>
        </w:rPr>
      </w:pPr>
      <w:r w:rsidRPr="00DF68DB">
        <w:rPr>
          <w:rFonts w:ascii="Arial" w:eastAsia="Times New Roman" w:hAnsi="Arial" w:cs="Arial"/>
          <w:spacing w:val="10"/>
          <w:sz w:val="27"/>
          <w:szCs w:val="27"/>
          <w:lang w:val="en-US"/>
        </w:rPr>
        <w:t>This</w:t>
      </w:r>
      <w:r w:rsidRPr="00DF68DB">
        <w:rPr>
          <w:rFonts w:ascii="Arial" w:eastAsia="Times New Roman" w:hAnsi="Arial" w:cs="Arial"/>
          <w:b/>
          <w:bCs/>
          <w:sz w:val="27"/>
          <w:szCs w:val="27"/>
          <w:lang w:val="en-US"/>
        </w:rPr>
        <w:t xml:space="preserve"> concise and complete</w:t>
      </w:r>
      <w:r w:rsidRPr="00DF68DB">
        <w:rPr>
          <w:rFonts w:ascii="Arial" w:eastAsia="Times New Roman" w:hAnsi="Arial" w:cs="Arial"/>
          <w:spacing w:val="10"/>
          <w:sz w:val="27"/>
          <w:szCs w:val="27"/>
          <w:lang w:val="en-US"/>
        </w:rPr>
        <w:t xml:space="preserve"> resource is</w:t>
      </w:r>
      <w:r w:rsidRPr="00DF68DB">
        <w:rPr>
          <w:rFonts w:ascii="Arial" w:eastAsia="Times New Roman" w:hAnsi="Arial" w:cs="Arial"/>
          <w:b/>
          <w:bCs/>
          <w:sz w:val="27"/>
          <w:szCs w:val="27"/>
          <w:lang w:val="en-US"/>
        </w:rPr>
        <w:t xml:space="preserve"> today's</w:t>
      </w:r>
    </w:p>
    <w:p w:rsidR="00DF68DB" w:rsidRPr="00DF68DB" w:rsidRDefault="00DF68DB" w:rsidP="00DF68DB">
      <w:pPr>
        <w:keepNext/>
        <w:keepLines/>
        <w:spacing w:before="60" w:after="60" w:line="331" w:lineRule="exact"/>
        <w:ind w:left="20" w:right="320"/>
        <w:outlineLvl w:val="0"/>
        <w:rPr>
          <w:rFonts w:ascii="Times New Roman" w:eastAsia="Times New Roman" w:hAnsi="Times New Roman" w:cs="Times New Roman"/>
          <w:sz w:val="24"/>
          <w:szCs w:val="24"/>
          <w:lang w:val="en-US" w:eastAsia="ru-RU"/>
        </w:rPr>
      </w:pPr>
      <w:bookmarkStart w:id="1" w:name="bookmark1"/>
      <w:proofErr w:type="gramStart"/>
      <w:r w:rsidRPr="00DF68DB">
        <w:rPr>
          <w:rFonts w:ascii="Arial" w:eastAsia="Times New Roman" w:hAnsi="Arial" w:cs="Arial"/>
          <w:b/>
          <w:bCs/>
          <w:sz w:val="27"/>
          <w:szCs w:val="27"/>
          <w:lang w:val="en-US"/>
        </w:rPr>
        <w:t>indispensable</w:t>
      </w:r>
      <w:proofErr w:type="gramEnd"/>
      <w:r w:rsidRPr="00DF68DB">
        <w:rPr>
          <w:rFonts w:ascii="Arial" w:eastAsia="Times New Roman" w:hAnsi="Arial" w:cs="Arial"/>
          <w:b/>
          <w:bCs/>
          <w:sz w:val="27"/>
          <w:szCs w:val="27"/>
          <w:lang w:val="en-US"/>
        </w:rPr>
        <w:t xml:space="preserve"> guide</w:t>
      </w:r>
      <w:r w:rsidRPr="00DF68DB">
        <w:rPr>
          <w:rFonts w:ascii="Arial" w:eastAsia="Times New Roman" w:hAnsi="Arial" w:cs="Arial"/>
          <w:spacing w:val="10"/>
          <w:sz w:val="27"/>
          <w:szCs w:val="27"/>
          <w:lang w:val="en-US"/>
        </w:rPr>
        <w:t xml:space="preserve"> to the effective use of </w:t>
      </w:r>
      <w:proofErr w:type="spellStart"/>
      <w:r w:rsidRPr="00DF68DB">
        <w:rPr>
          <w:rFonts w:ascii="Arial" w:eastAsia="Times New Roman" w:hAnsi="Arial" w:cs="Arial"/>
          <w:spacing w:val="10"/>
          <w:sz w:val="27"/>
          <w:szCs w:val="27"/>
          <w:lang w:val="en-US"/>
        </w:rPr>
        <w:t>immunohistochemical</w:t>
      </w:r>
      <w:proofErr w:type="spellEnd"/>
      <w:r w:rsidRPr="00DF68DB">
        <w:rPr>
          <w:rFonts w:ascii="Arial" w:eastAsia="Times New Roman" w:hAnsi="Arial" w:cs="Arial"/>
          <w:spacing w:val="10"/>
          <w:sz w:val="27"/>
          <w:szCs w:val="27"/>
          <w:lang w:val="en-US"/>
        </w:rPr>
        <w:t xml:space="preserve"> diagnosis.</w:t>
      </w:r>
      <w:bookmarkEnd w:id="1"/>
    </w:p>
    <w:p w:rsidR="00DF68DB" w:rsidRPr="00DF68DB" w:rsidRDefault="00DF68DB" w:rsidP="00DF68DB">
      <w:pPr>
        <w:spacing w:before="60" w:after="0" w:line="341" w:lineRule="exact"/>
        <w:ind w:left="280" w:right="320"/>
        <w:rPr>
          <w:rFonts w:ascii="Times New Roman" w:eastAsia="Times New Roman" w:hAnsi="Times New Roman" w:cs="Times New Roman"/>
          <w:sz w:val="24"/>
          <w:szCs w:val="24"/>
          <w:lang w:val="en-US" w:eastAsia="ru-RU"/>
        </w:rPr>
      </w:pPr>
      <w:r w:rsidRPr="00DF68DB">
        <w:rPr>
          <w:rFonts w:ascii="Arial" w:eastAsia="Times New Roman" w:hAnsi="Arial" w:cs="Arial"/>
          <w:spacing w:val="10"/>
          <w:lang w:val="en-US"/>
        </w:rPr>
        <w:t>Provides guidance on</w:t>
      </w:r>
      <w:r w:rsidRPr="00DF68DB">
        <w:rPr>
          <w:rFonts w:ascii="Arial" w:eastAsia="Times New Roman" w:hAnsi="Arial" w:cs="Arial"/>
          <w:b/>
          <w:bCs/>
          <w:lang w:val="en-US"/>
        </w:rPr>
        <w:t xml:space="preserve"> the role of genomics in identifying genetic and molecular aspects of disease</w:t>
      </w:r>
    </w:p>
    <w:p w:rsidR="00DF68DB" w:rsidRPr="00DF68DB" w:rsidRDefault="00DF68DB" w:rsidP="00DF68DB">
      <w:pPr>
        <w:spacing w:after="60" w:line="336" w:lineRule="exact"/>
        <w:ind w:left="280" w:right="1060"/>
        <w:rPr>
          <w:rFonts w:ascii="Times New Roman" w:eastAsia="Times New Roman" w:hAnsi="Times New Roman" w:cs="Times New Roman"/>
          <w:sz w:val="24"/>
          <w:szCs w:val="24"/>
          <w:lang w:val="en-US" w:eastAsia="ru-RU"/>
        </w:rPr>
      </w:pPr>
      <w:proofErr w:type="gramStart"/>
      <w:r w:rsidRPr="00DF68DB">
        <w:rPr>
          <w:rFonts w:ascii="Arial" w:eastAsia="Times New Roman" w:hAnsi="Arial" w:cs="Arial"/>
          <w:spacing w:val="10"/>
          <w:lang w:val="en-US"/>
        </w:rPr>
        <w:t>that</w:t>
      </w:r>
      <w:proofErr w:type="gramEnd"/>
      <w:r w:rsidRPr="00DF68DB">
        <w:rPr>
          <w:rFonts w:ascii="Arial" w:eastAsia="Times New Roman" w:hAnsi="Arial" w:cs="Arial"/>
          <w:spacing w:val="10"/>
          <w:lang w:val="en-US"/>
        </w:rPr>
        <w:t xml:space="preserve"> may affect patient care and therapeutic approaches.</w:t>
      </w:r>
    </w:p>
    <w:p w:rsidR="00DF68DB" w:rsidRPr="00DF68DB" w:rsidRDefault="00DF68DB" w:rsidP="00DF68DB">
      <w:pPr>
        <w:spacing w:before="60" w:after="60" w:line="336" w:lineRule="exact"/>
        <w:ind w:left="280" w:right="1060"/>
        <w:rPr>
          <w:rFonts w:ascii="Times New Roman" w:eastAsia="Times New Roman" w:hAnsi="Times New Roman" w:cs="Times New Roman"/>
          <w:sz w:val="24"/>
          <w:szCs w:val="24"/>
          <w:lang w:val="en-US" w:eastAsia="ru-RU"/>
        </w:rPr>
      </w:pPr>
      <w:r w:rsidRPr="00DF68DB">
        <w:rPr>
          <w:rFonts w:ascii="Arial" w:eastAsia="Times New Roman" w:hAnsi="Arial" w:cs="Arial"/>
          <w:spacing w:val="10"/>
          <w:lang w:val="en-US"/>
        </w:rPr>
        <w:t xml:space="preserve">Covers </w:t>
      </w:r>
      <w:proofErr w:type="spellStart"/>
      <w:r w:rsidRPr="00DF68DB">
        <w:rPr>
          <w:rFonts w:ascii="Arial" w:eastAsia="Times New Roman" w:hAnsi="Arial" w:cs="Arial"/>
          <w:spacing w:val="10"/>
          <w:lang w:val="en-US"/>
        </w:rPr>
        <w:t>theranostic</w:t>
      </w:r>
      <w:proofErr w:type="spellEnd"/>
      <w:r w:rsidRPr="00DF68DB">
        <w:rPr>
          <w:rFonts w:ascii="Arial" w:eastAsia="Times New Roman" w:hAnsi="Arial" w:cs="Arial"/>
          <w:spacing w:val="10"/>
          <w:lang w:val="en-US"/>
        </w:rPr>
        <w:t xml:space="preserve"> applications to enable you to</w:t>
      </w:r>
      <w:r w:rsidRPr="00DF68DB">
        <w:rPr>
          <w:rFonts w:ascii="Arial" w:eastAsia="Times New Roman" w:hAnsi="Arial" w:cs="Arial"/>
          <w:b/>
          <w:bCs/>
          <w:lang w:val="en-US"/>
        </w:rPr>
        <w:t xml:space="preserve"> evaluate therapeutic choices</w:t>
      </w:r>
      <w:r w:rsidRPr="00DF68DB">
        <w:rPr>
          <w:rFonts w:ascii="Arial" w:eastAsia="Times New Roman" w:hAnsi="Arial" w:cs="Arial"/>
          <w:spacing w:val="10"/>
          <w:lang w:val="en-US"/>
        </w:rPr>
        <w:t xml:space="preserve"> based on </w:t>
      </w:r>
      <w:proofErr w:type="spellStart"/>
      <w:r w:rsidRPr="00DF68DB">
        <w:rPr>
          <w:rFonts w:ascii="Arial" w:eastAsia="Times New Roman" w:hAnsi="Arial" w:cs="Arial"/>
          <w:spacing w:val="10"/>
          <w:lang w:val="en-US"/>
        </w:rPr>
        <w:t>immunohistochemical</w:t>
      </w:r>
      <w:proofErr w:type="spellEnd"/>
      <w:r w:rsidRPr="00DF68DB">
        <w:rPr>
          <w:rFonts w:ascii="Arial" w:eastAsia="Times New Roman" w:hAnsi="Arial" w:cs="Arial"/>
          <w:spacing w:val="10"/>
          <w:lang w:val="en-US"/>
        </w:rPr>
        <w:t xml:space="preserve"> results.</w:t>
      </w:r>
    </w:p>
    <w:p w:rsidR="00DF68DB" w:rsidRPr="00DF68DB" w:rsidRDefault="00DF68DB" w:rsidP="00DF68DB">
      <w:pPr>
        <w:spacing w:before="60" w:after="60" w:line="336" w:lineRule="exact"/>
        <w:ind w:left="280" w:right="320"/>
        <w:rPr>
          <w:rFonts w:ascii="Times New Roman" w:eastAsia="Times New Roman" w:hAnsi="Times New Roman" w:cs="Times New Roman"/>
          <w:sz w:val="24"/>
          <w:szCs w:val="24"/>
          <w:lang w:val="en-US" w:eastAsia="ru-RU"/>
        </w:rPr>
      </w:pPr>
      <w:proofErr w:type="gramStart"/>
      <w:r w:rsidRPr="00DF68DB">
        <w:rPr>
          <w:rFonts w:ascii="Arial" w:eastAsia="Times New Roman" w:hAnsi="Arial" w:cs="Arial"/>
          <w:spacing w:val="10"/>
          <w:lang w:val="en-US"/>
        </w:rPr>
        <w:t xml:space="preserve">Reflects the latest developments in the field through </w:t>
      </w:r>
      <w:r w:rsidRPr="00DF68DB">
        <w:rPr>
          <w:rFonts w:ascii="Arial" w:eastAsia="Times New Roman" w:hAnsi="Arial" w:cs="Arial"/>
          <w:b/>
          <w:bCs/>
          <w:lang w:val="en-US"/>
        </w:rPr>
        <w:t xml:space="preserve">new chapters on molecular anatomic pathology and </w:t>
      </w:r>
      <w:proofErr w:type="spellStart"/>
      <w:r w:rsidRPr="00DF68DB">
        <w:rPr>
          <w:rFonts w:ascii="Arial" w:eastAsia="Times New Roman" w:hAnsi="Arial" w:cs="Arial"/>
          <w:b/>
          <w:bCs/>
          <w:lang w:val="en-US"/>
        </w:rPr>
        <w:t>immunocytology</w:t>
      </w:r>
      <w:proofErr w:type="spellEnd"/>
      <w:r w:rsidRPr="00DF68DB">
        <w:rPr>
          <w:rFonts w:ascii="Arial" w:eastAsia="Times New Roman" w:hAnsi="Arial" w:cs="Arial"/>
          <w:b/>
          <w:bCs/>
          <w:lang w:val="en-US"/>
        </w:rPr>
        <w:t>,</w:t>
      </w:r>
      <w:r w:rsidRPr="00DF68DB">
        <w:rPr>
          <w:rFonts w:ascii="Arial" w:eastAsia="Times New Roman" w:hAnsi="Arial" w:cs="Arial"/>
          <w:spacing w:val="10"/>
          <w:lang w:val="en-US"/>
        </w:rPr>
        <w:t xml:space="preserve"> as well as</w:t>
      </w:r>
      <w:r w:rsidRPr="00DF68DB">
        <w:rPr>
          <w:rFonts w:ascii="Arial" w:eastAsia="Times New Roman" w:hAnsi="Arial" w:cs="Arial"/>
          <w:b/>
          <w:bCs/>
          <w:lang w:val="en-US"/>
        </w:rPr>
        <w:t xml:space="preserve"> updated chapters on </w:t>
      </w:r>
      <w:proofErr w:type="spellStart"/>
      <w:r w:rsidRPr="00DF68DB">
        <w:rPr>
          <w:rFonts w:ascii="Arial" w:eastAsia="Times New Roman" w:hAnsi="Arial" w:cs="Arial"/>
          <w:b/>
          <w:bCs/>
          <w:lang w:val="en-US"/>
        </w:rPr>
        <w:t>immunohistology</w:t>
      </w:r>
      <w:proofErr w:type="spellEnd"/>
      <w:r w:rsidRPr="00DF68DB">
        <w:rPr>
          <w:rFonts w:ascii="Arial" w:eastAsia="Times New Roman" w:hAnsi="Arial" w:cs="Arial"/>
          <w:b/>
          <w:bCs/>
          <w:lang w:val="en-US"/>
        </w:rPr>
        <w:t xml:space="preserve"> of the prostate, bladder, testis, and kidney and non-Hodgkin lymphoma.</w:t>
      </w:r>
      <w:proofErr w:type="gramEnd"/>
    </w:p>
    <w:p w:rsidR="00DF68DB" w:rsidRPr="00DF68DB" w:rsidRDefault="00DF68DB" w:rsidP="00DF68DB">
      <w:pPr>
        <w:spacing w:before="60" w:after="0" w:line="336" w:lineRule="exact"/>
        <w:ind w:left="280" w:right="320"/>
        <w:jc w:val="both"/>
        <w:rPr>
          <w:rFonts w:ascii="Times New Roman" w:eastAsia="Times New Roman" w:hAnsi="Times New Roman" w:cs="Times New Roman"/>
          <w:sz w:val="24"/>
          <w:szCs w:val="24"/>
          <w:lang w:val="en-US" w:eastAsia="ru-RU"/>
        </w:rPr>
      </w:pPr>
      <w:proofErr w:type="gramStart"/>
      <w:r w:rsidRPr="00DF68DB">
        <w:rPr>
          <w:rFonts w:ascii="Arial" w:eastAsia="Times New Roman" w:hAnsi="Arial" w:cs="Arial"/>
          <w:spacing w:val="10"/>
          <w:lang w:val="en-US"/>
        </w:rPr>
        <w:t>Features</w:t>
      </w:r>
      <w:r w:rsidRPr="00DF68DB">
        <w:rPr>
          <w:rFonts w:ascii="Arial" w:eastAsia="Times New Roman" w:hAnsi="Arial" w:cs="Arial"/>
          <w:b/>
          <w:bCs/>
          <w:lang w:val="en-US"/>
        </w:rPr>
        <w:t xml:space="preserve"> discussions of ancillary anatomic molecular diagnostics</w:t>
      </w:r>
      <w:r w:rsidRPr="00DF68DB">
        <w:rPr>
          <w:rFonts w:ascii="Arial" w:eastAsia="Times New Roman" w:hAnsi="Arial" w:cs="Arial"/>
          <w:spacing w:val="10"/>
          <w:lang w:val="en-US"/>
        </w:rPr>
        <w:t xml:space="preserve"> as an adjunct to </w:t>
      </w:r>
      <w:proofErr w:type="spellStart"/>
      <w:r w:rsidRPr="00DF68DB">
        <w:rPr>
          <w:rFonts w:ascii="Arial" w:eastAsia="Times New Roman" w:hAnsi="Arial" w:cs="Arial"/>
          <w:spacing w:val="10"/>
          <w:lang w:val="en-US"/>
        </w:rPr>
        <w:t>immunohistochemistry</w:t>
      </w:r>
      <w:proofErr w:type="spellEnd"/>
      <w:r w:rsidRPr="00DF68DB">
        <w:rPr>
          <w:rFonts w:ascii="Arial" w:eastAsia="Times New Roman" w:hAnsi="Arial" w:cs="Arial"/>
          <w:spacing w:val="10"/>
          <w:lang w:val="en-US"/>
        </w:rPr>
        <w:t xml:space="preserve"> for a more</w:t>
      </w:r>
      <w:r w:rsidRPr="00DF68DB">
        <w:rPr>
          <w:rFonts w:ascii="Arial" w:eastAsia="Times New Roman" w:hAnsi="Arial" w:cs="Arial"/>
          <w:b/>
          <w:bCs/>
          <w:lang w:val="en-US"/>
        </w:rPr>
        <w:t xml:space="preserve"> well-rounded diagnostic approach.</w:t>
      </w:r>
      <w:proofErr w:type="gramEnd"/>
    </w:p>
    <w:p w:rsidR="00DF68DB" w:rsidRDefault="00DF68DB">
      <w:pPr>
        <w:rPr>
          <w:lang w:val="en-US"/>
        </w:rPr>
      </w:pPr>
    </w:p>
    <w:p w:rsidR="00DF68DB" w:rsidRDefault="00DF68DB">
      <w:pPr>
        <w:rPr>
          <w:lang w:val="en-US"/>
        </w:rPr>
      </w:pPr>
    </w:p>
    <w:p w:rsidR="00DF68DB" w:rsidRDefault="00DF68DB">
      <w:pPr>
        <w:rPr>
          <w:rFonts w:ascii="Arial" w:hAnsi="Arial" w:cs="Arial"/>
          <w:b/>
          <w:sz w:val="40"/>
          <w:szCs w:val="40"/>
          <w:u w:val="single"/>
          <w:lang w:val="en-US"/>
        </w:rPr>
      </w:pPr>
      <w:proofErr w:type="spellStart"/>
      <w:r w:rsidRPr="00DF68DB">
        <w:rPr>
          <w:rFonts w:ascii="Arial" w:hAnsi="Arial" w:cs="Arial"/>
          <w:b/>
          <w:sz w:val="40"/>
          <w:szCs w:val="40"/>
          <w:u w:val="single"/>
        </w:rPr>
        <w:t>Differentia</w:t>
      </w:r>
      <w:r w:rsidRPr="00DF68DB">
        <w:rPr>
          <w:rFonts w:ascii="Arial" w:hAnsi="Arial" w:cs="Arial"/>
          <w:b/>
          <w:color w:val="000000" w:themeColor="text1"/>
          <w:sz w:val="40"/>
          <w:szCs w:val="40"/>
          <w:u w:val="single"/>
        </w:rPr>
        <w:t>l</w:t>
      </w:r>
      <w:proofErr w:type="spellEnd"/>
      <w:r w:rsidRPr="00DF68DB">
        <w:rPr>
          <w:rFonts w:ascii="Arial" w:hAnsi="Arial" w:cs="Arial"/>
          <w:b/>
          <w:color w:val="000000" w:themeColor="text1"/>
          <w:sz w:val="40"/>
          <w:szCs w:val="40"/>
          <w:u w:val="single"/>
          <w:lang w:val="en-US"/>
        </w:rPr>
        <w:t xml:space="preserve"> </w:t>
      </w:r>
      <w:proofErr w:type="spellStart"/>
      <w:r w:rsidRPr="00DF68DB">
        <w:rPr>
          <w:rFonts w:ascii="Arial" w:hAnsi="Arial" w:cs="Arial"/>
          <w:b/>
          <w:bCs/>
          <w:color w:val="000000" w:themeColor="text1"/>
          <w:sz w:val="40"/>
          <w:szCs w:val="40"/>
          <w:u w:val="single"/>
        </w:rPr>
        <w:t>diagnos</w:t>
      </w:r>
      <w:r w:rsidRPr="00DF68DB">
        <w:rPr>
          <w:rFonts w:ascii="Arial" w:hAnsi="Arial" w:cs="Arial"/>
          <w:b/>
          <w:bCs/>
          <w:color w:val="000000" w:themeColor="text1"/>
          <w:sz w:val="40"/>
          <w:szCs w:val="40"/>
          <w:u w:val="single"/>
          <w:lang w:val="en-US"/>
        </w:rPr>
        <w:t>i</w:t>
      </w:r>
      <w:r w:rsidRPr="00DF68DB">
        <w:rPr>
          <w:rFonts w:ascii="Arial" w:hAnsi="Arial" w:cs="Arial"/>
          <w:b/>
          <w:bCs/>
          <w:color w:val="000000" w:themeColor="text1"/>
          <w:sz w:val="40"/>
          <w:szCs w:val="40"/>
          <w:u w:val="single"/>
        </w:rPr>
        <w:t>s</w:t>
      </w:r>
      <w:proofErr w:type="spellEnd"/>
      <w:r w:rsidRPr="00DF68DB">
        <w:rPr>
          <w:rFonts w:ascii="Arial" w:hAnsi="Arial" w:cs="Arial"/>
          <w:b/>
          <w:bCs/>
          <w:color w:val="000000" w:themeColor="text1"/>
          <w:sz w:val="40"/>
          <w:szCs w:val="40"/>
          <w:u w:val="single"/>
          <w:lang w:val="en-US"/>
        </w:rPr>
        <w:t xml:space="preserve"> in surgical </w:t>
      </w:r>
      <w:proofErr w:type="spellStart"/>
      <w:r w:rsidRPr="00DF68DB">
        <w:rPr>
          <w:rFonts w:ascii="Arial" w:hAnsi="Arial" w:cs="Arial"/>
          <w:b/>
          <w:sz w:val="40"/>
          <w:szCs w:val="40"/>
          <w:u w:val="single"/>
        </w:rPr>
        <w:t>pathology</w:t>
      </w:r>
      <w:proofErr w:type="spellEnd"/>
    </w:p>
    <w:p w:rsidR="00DF68DB" w:rsidRPr="00DF68DB" w:rsidRDefault="00DF68DB" w:rsidP="00DF68DB">
      <w:pPr>
        <w:shd w:val="clear" w:color="auto" w:fill="1F1F53"/>
        <w:spacing w:after="60" w:line="240" w:lineRule="auto"/>
        <w:ind w:left="360" w:hanging="360"/>
        <w:rPr>
          <w:rFonts w:ascii="Times New Roman" w:eastAsia="Times New Roman" w:hAnsi="Times New Roman" w:cs="Times New Roman"/>
          <w:sz w:val="24"/>
          <w:szCs w:val="24"/>
          <w:lang w:val="en-US" w:eastAsia="ru-RU"/>
        </w:rPr>
      </w:pPr>
      <w:r w:rsidRPr="00DF68DB">
        <w:rPr>
          <w:rFonts w:ascii="Arial" w:eastAsia="Times New Roman" w:hAnsi="Arial" w:cs="Arial"/>
          <w:b/>
          <w:bCs/>
          <w:color w:val="FFFFFF"/>
          <w:lang w:val="en-US"/>
        </w:rPr>
        <w:t>Confidently sign out your toughest diagnoses.</w:t>
      </w:r>
    </w:p>
    <w:p w:rsidR="00DF68DB" w:rsidRPr="00DF68DB" w:rsidRDefault="00DF68DB" w:rsidP="00DF68DB">
      <w:pPr>
        <w:shd w:val="clear" w:color="auto" w:fill="1F1F53"/>
        <w:spacing w:before="60" w:after="60" w:line="216" w:lineRule="exact"/>
        <w:ind w:left="20" w:right="280"/>
        <w:rPr>
          <w:rFonts w:ascii="Times New Roman" w:eastAsia="Times New Roman" w:hAnsi="Times New Roman" w:cs="Times New Roman"/>
          <w:sz w:val="24"/>
          <w:szCs w:val="24"/>
          <w:lang w:val="en-US" w:eastAsia="ru-RU"/>
        </w:rPr>
      </w:pPr>
      <w:r w:rsidRPr="00DF68DB">
        <w:rPr>
          <w:rFonts w:ascii="Arial" w:eastAsia="Times New Roman" w:hAnsi="Arial" w:cs="Arial"/>
          <w:color w:val="FFFFFF"/>
          <w:sz w:val="17"/>
          <w:szCs w:val="17"/>
          <w:lang w:val="en-US"/>
        </w:rPr>
        <w:t>This one-of-a-kind resource is skillfully designed to help you confidently sign out</w:t>
      </w:r>
      <w:r w:rsidRPr="00DF68DB">
        <w:rPr>
          <w:rFonts w:ascii="Arial" w:eastAsia="Times New Roman" w:hAnsi="Arial" w:cs="Arial"/>
          <w:b/>
          <w:bCs/>
          <w:color w:val="FFFFFF"/>
          <w:sz w:val="17"/>
          <w:szCs w:val="17"/>
          <w:lang w:val="en-US"/>
        </w:rPr>
        <w:t xml:space="preserve"> your most complex and challenging cases.</w:t>
      </w:r>
      <w:r w:rsidRPr="00DF68DB">
        <w:rPr>
          <w:rFonts w:ascii="Arial" w:eastAsia="Times New Roman" w:hAnsi="Arial" w:cs="Arial"/>
          <w:color w:val="FFFFFF"/>
          <w:sz w:val="17"/>
          <w:szCs w:val="17"/>
          <w:lang w:val="en-US"/>
        </w:rPr>
        <w:t xml:space="preserve"> Covering a</w:t>
      </w:r>
      <w:r w:rsidRPr="00DF68DB">
        <w:rPr>
          <w:rFonts w:ascii="Arial" w:eastAsia="Times New Roman" w:hAnsi="Arial" w:cs="Arial"/>
          <w:b/>
          <w:bCs/>
          <w:color w:val="FFFFFF"/>
          <w:sz w:val="17"/>
          <w:szCs w:val="17"/>
          <w:lang w:val="en-US"/>
        </w:rPr>
        <w:t xml:space="preserve"> complete range</w:t>
      </w:r>
      <w:r w:rsidRPr="00DF68DB">
        <w:rPr>
          <w:rFonts w:ascii="Arial" w:eastAsia="Times New Roman" w:hAnsi="Arial" w:cs="Arial"/>
          <w:color w:val="FFFFFF"/>
          <w:sz w:val="17"/>
          <w:szCs w:val="17"/>
          <w:lang w:val="en-US"/>
        </w:rPr>
        <w:t xml:space="preserve"> of tumors and tumor-like conditions in all organ systems, it provides a</w:t>
      </w:r>
      <w:r w:rsidRPr="00DF68DB">
        <w:rPr>
          <w:rFonts w:ascii="Arial" w:eastAsia="Times New Roman" w:hAnsi="Arial" w:cs="Arial"/>
          <w:b/>
          <w:bCs/>
          <w:color w:val="FFFFFF"/>
          <w:sz w:val="17"/>
          <w:szCs w:val="17"/>
          <w:lang w:val="en-US"/>
        </w:rPr>
        <w:t xml:space="preserve"> user-friendly road map</w:t>
      </w:r>
      <w:r w:rsidRPr="00DF68DB">
        <w:rPr>
          <w:rFonts w:ascii="Arial" w:eastAsia="Times New Roman" w:hAnsi="Arial" w:cs="Arial"/>
          <w:color w:val="FFFFFF"/>
          <w:sz w:val="17"/>
          <w:szCs w:val="17"/>
          <w:lang w:val="en-US"/>
        </w:rPr>
        <w:t xml:space="preserve"> to the main criteria you should consider in order to differentiate among a variety of potential diagnoses that all have a very similar appearance.</w:t>
      </w:r>
    </w:p>
    <w:p w:rsidR="00DF68DB" w:rsidRPr="00DF68DB" w:rsidRDefault="00DF68DB" w:rsidP="00DF68DB">
      <w:pPr>
        <w:numPr>
          <w:ilvl w:val="0"/>
          <w:numId w:val="1"/>
        </w:numPr>
        <w:shd w:val="clear" w:color="auto" w:fill="1F1F53"/>
        <w:tabs>
          <w:tab w:val="left" w:pos="350"/>
        </w:tabs>
        <w:spacing w:before="60" w:after="60" w:line="211" w:lineRule="exact"/>
        <w:ind w:left="360" w:right="28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Online access at expertconsult.com allows you to quickly consult the book from any computer and download all of its images.</w:t>
      </w:r>
    </w:p>
    <w:p w:rsidR="00DF68DB" w:rsidRPr="00DF68DB" w:rsidRDefault="00DF68DB" w:rsidP="00DF68DB">
      <w:pPr>
        <w:numPr>
          <w:ilvl w:val="0"/>
          <w:numId w:val="1"/>
        </w:numPr>
        <w:shd w:val="clear" w:color="auto" w:fill="1F1F53"/>
        <w:tabs>
          <w:tab w:val="left" w:pos="355"/>
        </w:tabs>
        <w:spacing w:before="60" w:after="60" w:line="216" w:lineRule="exact"/>
        <w:ind w:left="360" w:right="28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 xml:space="preserve">Over </w:t>
      </w:r>
      <w:r w:rsidRPr="00DF68DB">
        <w:rPr>
          <w:rFonts w:ascii="Arial" w:eastAsia="Times New Roman" w:hAnsi="Arial" w:cs="Arial"/>
          <w:b/>
          <w:bCs/>
          <w:color w:val="FFFFFF"/>
          <w:sz w:val="17"/>
          <w:szCs w:val="17"/>
          <w:lang w:val="en-US" w:eastAsia="ru-RU"/>
        </w:rPr>
        <w:t xml:space="preserve">1,350 </w:t>
      </w:r>
      <w:r w:rsidRPr="00DF68DB">
        <w:rPr>
          <w:rFonts w:ascii="Arial" w:eastAsia="Times New Roman" w:hAnsi="Arial" w:cs="Arial"/>
          <w:b/>
          <w:bCs/>
          <w:color w:val="FFFFFF"/>
          <w:sz w:val="17"/>
          <w:szCs w:val="17"/>
          <w:lang w:val="en-US"/>
        </w:rPr>
        <w:t>new full-color macro- and microphotographs provide a realistic basis for comparison to what you see under the microscope.</w:t>
      </w:r>
    </w:p>
    <w:p w:rsidR="00DF68DB" w:rsidRPr="00DF68DB" w:rsidRDefault="00DF68DB" w:rsidP="00DF68DB">
      <w:pPr>
        <w:numPr>
          <w:ilvl w:val="0"/>
          <w:numId w:val="1"/>
        </w:numPr>
        <w:shd w:val="clear" w:color="auto" w:fill="1F1F53"/>
        <w:tabs>
          <w:tab w:val="left" w:pos="350"/>
        </w:tabs>
        <w:spacing w:before="60" w:after="60" w:line="216" w:lineRule="exact"/>
        <w:ind w:left="360" w:right="28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 xml:space="preserve">Coverage of all relevant ancillary diagnostic techniques, including </w:t>
      </w:r>
      <w:proofErr w:type="spellStart"/>
      <w:r w:rsidRPr="00DF68DB">
        <w:rPr>
          <w:rFonts w:ascii="Arial" w:eastAsia="Times New Roman" w:hAnsi="Arial" w:cs="Arial"/>
          <w:b/>
          <w:bCs/>
          <w:color w:val="FFFFFF"/>
          <w:sz w:val="17"/>
          <w:szCs w:val="17"/>
          <w:lang w:val="en-US"/>
        </w:rPr>
        <w:t>immunohistochemistry</w:t>
      </w:r>
      <w:proofErr w:type="spellEnd"/>
      <w:r w:rsidRPr="00DF68DB">
        <w:rPr>
          <w:rFonts w:ascii="Arial" w:eastAsia="Times New Roman" w:hAnsi="Arial" w:cs="Arial"/>
          <w:b/>
          <w:bCs/>
          <w:color w:val="FFFFFF"/>
          <w:sz w:val="17"/>
          <w:szCs w:val="17"/>
          <w:lang w:val="en-US"/>
        </w:rPr>
        <w:t xml:space="preserve"> and molecular biology, addresses all of the investigative contexts needed to formulate an accurate diagnosis.</w:t>
      </w:r>
    </w:p>
    <w:p w:rsidR="00DF68DB" w:rsidRPr="00DF68DB" w:rsidRDefault="00DF68DB" w:rsidP="00DF68DB">
      <w:pPr>
        <w:numPr>
          <w:ilvl w:val="0"/>
          <w:numId w:val="1"/>
        </w:numPr>
        <w:shd w:val="clear" w:color="auto" w:fill="1F1F53"/>
        <w:tabs>
          <w:tab w:val="left" w:pos="346"/>
        </w:tabs>
        <w:spacing w:before="60" w:after="60" w:line="216" w:lineRule="exact"/>
        <w:ind w:left="360" w:right="28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An expanded emphasis on non-</w:t>
      </w:r>
      <w:proofErr w:type="spellStart"/>
      <w:r w:rsidRPr="00DF68DB">
        <w:rPr>
          <w:rFonts w:ascii="Arial" w:eastAsia="Times New Roman" w:hAnsi="Arial" w:cs="Arial"/>
          <w:b/>
          <w:bCs/>
          <w:color w:val="FFFFFF"/>
          <w:sz w:val="17"/>
          <w:szCs w:val="17"/>
          <w:lang w:val="en-US"/>
        </w:rPr>
        <w:t>neoplastic</w:t>
      </w:r>
      <w:proofErr w:type="spellEnd"/>
      <w:r w:rsidRPr="00DF68DB">
        <w:rPr>
          <w:rFonts w:ascii="Arial" w:eastAsia="Times New Roman" w:hAnsi="Arial" w:cs="Arial"/>
          <w:b/>
          <w:bCs/>
          <w:color w:val="FFFFFF"/>
          <w:sz w:val="17"/>
          <w:szCs w:val="17"/>
          <w:lang w:val="en-US"/>
        </w:rPr>
        <w:t xml:space="preserve"> entities assists you in recognizing benign lesions that may mimic the appearance and characteristics of malignant ones.</w:t>
      </w:r>
    </w:p>
    <w:p w:rsidR="00DF68DB" w:rsidRPr="00DF68DB" w:rsidRDefault="00DF68DB" w:rsidP="00DF68DB">
      <w:pPr>
        <w:numPr>
          <w:ilvl w:val="0"/>
          <w:numId w:val="1"/>
        </w:numPr>
        <w:shd w:val="clear" w:color="auto" w:fill="1F1F53"/>
        <w:tabs>
          <w:tab w:val="left" w:pos="355"/>
        </w:tabs>
        <w:spacing w:before="60" w:after="60" w:line="211" w:lineRule="exact"/>
        <w:ind w:left="360" w:right="28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Extensive updates include the latest classification schemes and relevant diagnostic techniques.</w:t>
      </w:r>
    </w:p>
    <w:p w:rsidR="00DF68DB" w:rsidRPr="00DF68DB" w:rsidRDefault="00DF68DB" w:rsidP="00DF68DB">
      <w:pPr>
        <w:numPr>
          <w:ilvl w:val="0"/>
          <w:numId w:val="1"/>
        </w:numPr>
        <w:shd w:val="clear" w:color="auto" w:fill="1F1F53"/>
        <w:tabs>
          <w:tab w:val="left" w:pos="346"/>
        </w:tabs>
        <w:spacing w:before="60" w:after="0" w:line="336" w:lineRule="exact"/>
        <w:ind w:left="36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A brand-new, color layout highlights key points more clearly.</w:t>
      </w:r>
    </w:p>
    <w:p w:rsidR="00DF68DB" w:rsidRPr="00DF68DB" w:rsidRDefault="00DF68DB" w:rsidP="00DF68DB">
      <w:pPr>
        <w:numPr>
          <w:ilvl w:val="0"/>
          <w:numId w:val="1"/>
        </w:numPr>
        <w:shd w:val="clear" w:color="auto" w:fill="1F1F53"/>
        <w:tabs>
          <w:tab w:val="left" w:pos="346"/>
        </w:tabs>
        <w:spacing w:after="0" w:line="336" w:lineRule="exact"/>
        <w:ind w:left="36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A concise, bulleted textual format facilitates quick retrieval of essential facts.</w:t>
      </w:r>
    </w:p>
    <w:p w:rsidR="00DF68DB" w:rsidRPr="00DF68DB" w:rsidRDefault="00DF68DB" w:rsidP="00DF68DB">
      <w:pPr>
        <w:numPr>
          <w:ilvl w:val="0"/>
          <w:numId w:val="1"/>
        </w:numPr>
        <w:shd w:val="clear" w:color="auto" w:fill="1F1F53"/>
        <w:tabs>
          <w:tab w:val="left" w:pos="346"/>
        </w:tabs>
        <w:spacing w:after="0" w:line="336" w:lineRule="exact"/>
        <w:ind w:left="36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A consistent approach to diagnosis and interpretation expedites reference.</w:t>
      </w:r>
    </w:p>
    <w:p w:rsidR="00DF68DB" w:rsidRPr="00DF68DB" w:rsidRDefault="00DF68DB" w:rsidP="00DF68DB">
      <w:pPr>
        <w:numPr>
          <w:ilvl w:val="0"/>
          <w:numId w:val="1"/>
        </w:numPr>
        <w:shd w:val="clear" w:color="auto" w:fill="1F1F53"/>
        <w:tabs>
          <w:tab w:val="left" w:pos="355"/>
        </w:tabs>
        <w:spacing w:after="0" w:line="336" w:lineRule="exact"/>
        <w:ind w:left="360" w:hanging="360"/>
        <w:rPr>
          <w:rFonts w:ascii="Arial" w:eastAsia="Times New Roman" w:hAnsi="Arial" w:cs="Arial"/>
          <w:b/>
          <w:bCs/>
          <w:color w:val="FFFFFF"/>
          <w:sz w:val="17"/>
          <w:szCs w:val="17"/>
          <w:lang w:val="en-US"/>
        </w:rPr>
      </w:pPr>
      <w:r w:rsidRPr="00DF68DB">
        <w:rPr>
          <w:rFonts w:ascii="Arial" w:eastAsia="Times New Roman" w:hAnsi="Arial" w:cs="Arial"/>
          <w:b/>
          <w:bCs/>
          <w:color w:val="FFFFFF"/>
          <w:sz w:val="17"/>
          <w:szCs w:val="17"/>
          <w:lang w:val="en-US"/>
        </w:rPr>
        <w:t xml:space="preserve">Expert "pearls" offer practical tips on what diagnostic </w:t>
      </w:r>
      <w:r>
        <w:rPr>
          <w:rFonts w:ascii="Arial" w:eastAsia="Times New Roman" w:hAnsi="Arial" w:cs="Arial"/>
          <w:b/>
          <w:bCs/>
          <w:color w:val="FFFFFF"/>
          <w:sz w:val="17"/>
          <w:szCs w:val="17"/>
          <w:lang w:val="en-US"/>
        </w:rPr>
        <w:t>criteria to consider or exclude.</w:t>
      </w:r>
    </w:p>
    <w:p w:rsidR="00DF68DB" w:rsidRDefault="00DF68DB">
      <w:pPr>
        <w:rPr>
          <w:b/>
          <w:sz w:val="40"/>
          <w:szCs w:val="40"/>
          <w:u w:val="single"/>
          <w:lang w:val="en-US"/>
        </w:rPr>
      </w:pPr>
    </w:p>
    <w:p w:rsidR="00DF68DB" w:rsidRDefault="00DF68DB">
      <w:pPr>
        <w:rPr>
          <w:b/>
          <w:sz w:val="40"/>
          <w:szCs w:val="40"/>
          <w:u w:val="single"/>
          <w:lang w:val="en-US"/>
        </w:rPr>
      </w:pPr>
    </w:p>
    <w:p w:rsidR="00DF68DB" w:rsidRDefault="00DF68DB">
      <w:pPr>
        <w:rPr>
          <w:b/>
          <w:sz w:val="40"/>
          <w:szCs w:val="40"/>
          <w:u w:val="single"/>
          <w:lang w:val="en-US"/>
        </w:rPr>
      </w:pPr>
    </w:p>
    <w:p w:rsidR="00DF68DB" w:rsidRDefault="00DF68DB">
      <w:pPr>
        <w:rPr>
          <w:rFonts w:ascii="Arial" w:hAnsi="Arial" w:cs="Arial"/>
          <w:b/>
          <w:iCs/>
          <w:color w:val="000000" w:themeColor="text1"/>
          <w:sz w:val="40"/>
          <w:szCs w:val="40"/>
          <w:u w:val="single"/>
          <w:lang w:val="en-US"/>
        </w:rPr>
      </w:pPr>
      <w:proofErr w:type="spellStart"/>
      <w:r w:rsidRPr="00DF68DB">
        <w:rPr>
          <w:rFonts w:ascii="Arial" w:hAnsi="Arial" w:cs="Arial"/>
          <w:b/>
          <w:iCs/>
          <w:color w:val="000000" w:themeColor="text1"/>
          <w:sz w:val="40"/>
          <w:szCs w:val="40"/>
          <w:u w:val="single"/>
        </w:rPr>
        <w:lastRenderedPageBreak/>
        <w:t>Simpson's</w:t>
      </w:r>
      <w:proofErr w:type="spellEnd"/>
      <w:r w:rsidRPr="00DF68DB">
        <w:rPr>
          <w:rFonts w:ascii="Arial" w:hAnsi="Arial" w:cs="Arial"/>
          <w:b/>
          <w:iCs/>
          <w:color w:val="000000" w:themeColor="text1"/>
          <w:sz w:val="40"/>
          <w:szCs w:val="40"/>
          <w:u w:val="single"/>
        </w:rPr>
        <w:t xml:space="preserve"> </w:t>
      </w:r>
      <w:proofErr w:type="spellStart"/>
      <w:r w:rsidRPr="00DF68DB">
        <w:rPr>
          <w:rFonts w:ascii="Arial" w:hAnsi="Arial" w:cs="Arial"/>
          <w:b/>
          <w:iCs/>
          <w:color w:val="000000" w:themeColor="text1"/>
          <w:sz w:val="40"/>
          <w:szCs w:val="40"/>
          <w:u w:val="single"/>
        </w:rPr>
        <w:t>Forensic</w:t>
      </w:r>
      <w:proofErr w:type="spellEnd"/>
      <w:r w:rsidRPr="00DF68DB">
        <w:rPr>
          <w:rFonts w:ascii="Arial" w:hAnsi="Arial" w:cs="Arial"/>
          <w:b/>
          <w:iCs/>
          <w:color w:val="000000" w:themeColor="text1"/>
          <w:sz w:val="40"/>
          <w:szCs w:val="40"/>
          <w:u w:val="single"/>
        </w:rPr>
        <w:t xml:space="preserve"> </w:t>
      </w:r>
      <w:proofErr w:type="spellStart"/>
      <w:r w:rsidRPr="00DF68DB">
        <w:rPr>
          <w:rFonts w:ascii="Arial" w:hAnsi="Arial" w:cs="Arial"/>
          <w:b/>
          <w:iCs/>
          <w:color w:val="000000" w:themeColor="text1"/>
          <w:sz w:val="40"/>
          <w:szCs w:val="40"/>
          <w:u w:val="single"/>
        </w:rPr>
        <w:t>Medicine</w:t>
      </w:r>
      <w:proofErr w:type="spellEnd"/>
    </w:p>
    <w:p w:rsidR="00DF68DB" w:rsidRPr="00DF68DB" w:rsidRDefault="00DF68DB" w:rsidP="00DF68DB">
      <w:pPr>
        <w:spacing w:after="60" w:line="259" w:lineRule="exact"/>
        <w:ind w:left="40" w:right="520"/>
        <w:jc w:val="both"/>
        <w:rPr>
          <w:rFonts w:ascii="Times New Roman" w:eastAsia="Times New Roman" w:hAnsi="Times New Roman" w:cs="Times New Roman"/>
          <w:sz w:val="24"/>
          <w:szCs w:val="24"/>
          <w:lang w:val="en-US" w:eastAsia="ru-RU"/>
        </w:rPr>
      </w:pPr>
      <w:r w:rsidRPr="00DF68DB">
        <w:rPr>
          <w:rFonts w:ascii="Times New Roman" w:eastAsia="Times New Roman" w:hAnsi="Times New Roman" w:cs="Times New Roman"/>
          <w:lang w:val="en-US"/>
        </w:rPr>
        <w:t xml:space="preserve">Prestigious and authoritative, this fully updated thirteenth edition </w:t>
      </w:r>
      <w:proofErr w:type="spellStart"/>
      <w:r w:rsidRPr="00DF68DB">
        <w:rPr>
          <w:rFonts w:ascii="Times New Roman" w:eastAsia="Times New Roman" w:hAnsi="Times New Roman" w:cs="Times New Roman"/>
          <w:spacing w:val="60"/>
          <w:lang w:val="en-US"/>
        </w:rPr>
        <w:t>ofl</w:t>
      </w:r>
      <w:proofErr w:type="spellEnd"/>
      <w:r w:rsidRPr="00DF68DB">
        <w:rPr>
          <w:rFonts w:ascii="Times New Roman" w:eastAsia="Times New Roman" w:hAnsi="Times New Roman" w:cs="Times New Roman"/>
          <w:spacing w:val="60"/>
          <w:lang w:val="en-US"/>
        </w:rPr>
        <w:t xml:space="preserve"> </w:t>
      </w:r>
      <w:r w:rsidRPr="00DF68DB">
        <w:rPr>
          <w:rFonts w:ascii="Arial" w:eastAsia="Times New Roman" w:hAnsi="Arial" w:cs="Arial"/>
          <w:i/>
          <w:iCs/>
          <w:color w:val="9282B1"/>
          <w:sz w:val="21"/>
          <w:szCs w:val="21"/>
          <w:lang w:val="en-US"/>
        </w:rPr>
        <w:t>Simpson's Forensic Medicine</w:t>
      </w:r>
      <w:r w:rsidRPr="00DF68DB">
        <w:rPr>
          <w:rFonts w:ascii="Times New Roman" w:eastAsia="Times New Roman" w:hAnsi="Times New Roman" w:cs="Times New Roman"/>
          <w:color w:val="9282B1"/>
          <w:lang w:val="en-US"/>
        </w:rPr>
        <w:t xml:space="preserve"> </w:t>
      </w:r>
      <w:r w:rsidRPr="00DF68DB">
        <w:rPr>
          <w:rFonts w:ascii="Times New Roman" w:eastAsia="Times New Roman" w:hAnsi="Times New Roman" w:cs="Times New Roman"/>
          <w:lang w:val="en-US"/>
        </w:rPr>
        <w:t>remains a classic; the world's leading introductory text in the field of forensic medicine.</w:t>
      </w:r>
    </w:p>
    <w:p w:rsidR="00DF68DB" w:rsidRPr="00DF68DB" w:rsidRDefault="00DF68DB" w:rsidP="00DF68DB">
      <w:pPr>
        <w:spacing w:before="60" w:after="60" w:line="259" w:lineRule="exact"/>
        <w:ind w:left="40" w:right="520"/>
        <w:jc w:val="both"/>
        <w:rPr>
          <w:rFonts w:ascii="Times New Roman" w:eastAsia="Times New Roman" w:hAnsi="Times New Roman" w:cs="Times New Roman"/>
          <w:sz w:val="24"/>
          <w:szCs w:val="24"/>
          <w:lang w:val="en-US" w:eastAsia="ru-RU"/>
        </w:rPr>
      </w:pPr>
      <w:r w:rsidRPr="00DF68DB">
        <w:rPr>
          <w:rFonts w:ascii="Times New Roman" w:eastAsia="Times New Roman" w:hAnsi="Times New Roman" w:cs="Times New Roman"/>
          <w:lang w:val="en-US"/>
        </w:rPr>
        <w:t xml:space="preserve">It presents all that the generalist or student needs to know about the interface between medicine and the law, including forensic toxicology, forensic science, forensic </w:t>
      </w:r>
      <w:proofErr w:type="spellStart"/>
      <w:r w:rsidRPr="00DF68DB">
        <w:rPr>
          <w:rFonts w:ascii="Times New Roman" w:eastAsia="Times New Roman" w:hAnsi="Times New Roman" w:cs="Times New Roman"/>
          <w:lang w:val="en-US"/>
        </w:rPr>
        <w:t>odontology</w:t>
      </w:r>
      <w:proofErr w:type="spellEnd"/>
      <w:r w:rsidRPr="00DF68DB">
        <w:rPr>
          <w:rFonts w:ascii="Times New Roman" w:eastAsia="Times New Roman" w:hAnsi="Times New Roman" w:cs="Times New Roman"/>
          <w:lang w:val="en-US"/>
        </w:rPr>
        <w:t>, forensic anthropology and both the legal obligations and ethical responsibilities of those working in forensic settings.</w:t>
      </w:r>
    </w:p>
    <w:p w:rsidR="00DF68DB" w:rsidRPr="00DF68DB" w:rsidRDefault="00DF68DB" w:rsidP="00DF68DB">
      <w:pPr>
        <w:numPr>
          <w:ilvl w:val="0"/>
          <w:numId w:val="1"/>
        </w:numPr>
        <w:tabs>
          <w:tab w:val="left" w:pos="275"/>
        </w:tabs>
        <w:spacing w:before="60" w:after="0" w:line="264" w:lineRule="exact"/>
        <w:ind w:left="40" w:right="1300"/>
        <w:rPr>
          <w:rFonts w:ascii="Times New Roman" w:eastAsia="Times New Roman" w:hAnsi="Times New Roman" w:cs="Times New Roman"/>
          <w:lang w:val="en-US"/>
        </w:rPr>
      </w:pPr>
      <w:r w:rsidRPr="00DF68DB">
        <w:rPr>
          <w:rFonts w:ascii="Times New Roman" w:eastAsia="Times New Roman" w:hAnsi="Times New Roman" w:cs="Times New Roman"/>
          <w:lang w:val="en-US"/>
        </w:rPr>
        <w:t xml:space="preserve">Clear, concise and comprehensive text, illustrated with high </w:t>
      </w:r>
      <w:proofErr w:type="spellStart"/>
      <w:r w:rsidRPr="00DF68DB">
        <w:rPr>
          <w:rFonts w:ascii="Times New Roman" w:eastAsia="Times New Roman" w:hAnsi="Times New Roman" w:cs="Times New Roman"/>
          <w:lang w:val="en-US"/>
        </w:rPr>
        <w:t>guality</w:t>
      </w:r>
      <w:proofErr w:type="spellEnd"/>
      <w:r w:rsidRPr="00DF68DB">
        <w:rPr>
          <w:rFonts w:ascii="Times New Roman" w:eastAsia="Times New Roman" w:hAnsi="Times New Roman" w:cs="Times New Roman"/>
          <w:lang w:val="en-US"/>
        </w:rPr>
        <w:t xml:space="preserve"> </w:t>
      </w:r>
      <w:proofErr w:type="spellStart"/>
      <w:r w:rsidRPr="00DF68DB">
        <w:rPr>
          <w:rFonts w:ascii="Times New Roman" w:eastAsia="Times New Roman" w:hAnsi="Times New Roman" w:cs="Times New Roman"/>
          <w:lang w:val="en-US"/>
        </w:rPr>
        <w:t>colour</w:t>
      </w:r>
      <w:proofErr w:type="spellEnd"/>
      <w:r w:rsidRPr="00DF68DB">
        <w:rPr>
          <w:rFonts w:ascii="Times New Roman" w:eastAsia="Times New Roman" w:hAnsi="Times New Roman" w:cs="Times New Roman"/>
          <w:lang w:val="en-US"/>
        </w:rPr>
        <w:t xml:space="preserve"> photographs</w:t>
      </w:r>
    </w:p>
    <w:p w:rsidR="00DF68DB" w:rsidRPr="00DF68DB" w:rsidRDefault="00DF68DB" w:rsidP="00DF68DB">
      <w:pPr>
        <w:numPr>
          <w:ilvl w:val="0"/>
          <w:numId w:val="1"/>
        </w:numPr>
        <w:tabs>
          <w:tab w:val="left" w:pos="275"/>
        </w:tabs>
        <w:spacing w:after="60" w:line="240" w:lineRule="auto"/>
        <w:ind w:left="40"/>
        <w:jc w:val="both"/>
        <w:rPr>
          <w:rFonts w:ascii="Times New Roman" w:eastAsia="Times New Roman" w:hAnsi="Times New Roman" w:cs="Times New Roman"/>
          <w:lang w:val="en-US"/>
        </w:rPr>
      </w:pPr>
      <w:r w:rsidRPr="00DF68DB">
        <w:rPr>
          <w:rFonts w:ascii="Times New Roman" w:eastAsia="Times New Roman" w:hAnsi="Times New Roman" w:cs="Times New Roman"/>
          <w:lang w:val="en-US"/>
        </w:rPr>
        <w:t>Focusing on key principles, the text is relevant to all legal systems</w:t>
      </w:r>
    </w:p>
    <w:p w:rsidR="00DF68DB" w:rsidRPr="00DF68DB" w:rsidRDefault="00DF68DB" w:rsidP="00DF68DB">
      <w:pPr>
        <w:numPr>
          <w:ilvl w:val="0"/>
          <w:numId w:val="1"/>
        </w:numPr>
        <w:tabs>
          <w:tab w:val="left" w:pos="270"/>
        </w:tabs>
        <w:spacing w:before="60" w:after="60" w:line="240" w:lineRule="auto"/>
        <w:ind w:left="40"/>
        <w:jc w:val="both"/>
        <w:rPr>
          <w:rFonts w:ascii="Times New Roman" w:eastAsia="Times New Roman" w:hAnsi="Times New Roman" w:cs="Times New Roman"/>
          <w:lang w:val="en-US"/>
        </w:rPr>
      </w:pPr>
      <w:r w:rsidRPr="00DF68DB">
        <w:rPr>
          <w:rFonts w:ascii="Times New Roman" w:eastAsia="Times New Roman" w:hAnsi="Times New Roman" w:cs="Times New Roman"/>
          <w:lang w:val="en-US"/>
        </w:rPr>
        <w:t>New authors bring a fresh, modern and a totally up-to-date perspective</w:t>
      </w:r>
    </w:p>
    <w:p w:rsidR="00DF68DB" w:rsidRPr="00DF68DB" w:rsidRDefault="00DF68DB" w:rsidP="00DF68DB">
      <w:pPr>
        <w:numPr>
          <w:ilvl w:val="0"/>
          <w:numId w:val="1"/>
        </w:numPr>
        <w:tabs>
          <w:tab w:val="left" w:pos="270"/>
        </w:tabs>
        <w:spacing w:before="60" w:after="60" w:line="259" w:lineRule="exact"/>
        <w:ind w:left="40" w:right="520"/>
        <w:jc w:val="both"/>
        <w:rPr>
          <w:rFonts w:ascii="Times New Roman" w:eastAsia="Times New Roman" w:hAnsi="Times New Roman" w:cs="Times New Roman"/>
          <w:lang w:val="en-US"/>
        </w:rPr>
      </w:pPr>
      <w:r w:rsidRPr="00DF68DB">
        <w:rPr>
          <w:rFonts w:ascii="Times New Roman" w:eastAsia="Times New Roman" w:hAnsi="Times New Roman" w:cs="Times New Roman"/>
          <w:lang w:val="en-US"/>
        </w:rPr>
        <w:t>Now with expanded coverage of forensic toxicology and forensic science, plus many important subspecialties of forensic medicine</w:t>
      </w:r>
    </w:p>
    <w:p w:rsidR="00DF68DB" w:rsidRPr="00DF68DB" w:rsidRDefault="00DF68DB" w:rsidP="00DF68DB">
      <w:pPr>
        <w:spacing w:before="60" w:after="0" w:line="259" w:lineRule="exact"/>
        <w:ind w:left="40" w:right="520"/>
        <w:jc w:val="both"/>
        <w:rPr>
          <w:rFonts w:ascii="Times New Roman" w:eastAsia="Times New Roman" w:hAnsi="Times New Roman" w:cs="Times New Roman"/>
          <w:sz w:val="24"/>
          <w:szCs w:val="24"/>
          <w:lang w:val="en-US" w:eastAsia="ru-RU"/>
        </w:rPr>
      </w:pPr>
      <w:r w:rsidRPr="00DF68DB">
        <w:rPr>
          <w:rFonts w:ascii="Arial" w:eastAsia="Times New Roman" w:hAnsi="Arial" w:cs="Arial"/>
          <w:i/>
          <w:iCs/>
          <w:color w:val="9282B1"/>
          <w:sz w:val="21"/>
          <w:szCs w:val="21"/>
          <w:lang w:val="en-US"/>
        </w:rPr>
        <w:t>Simpson's</w:t>
      </w:r>
      <w:r w:rsidRPr="00DF68DB">
        <w:rPr>
          <w:rFonts w:ascii="Times New Roman" w:eastAsia="Times New Roman" w:hAnsi="Times New Roman" w:cs="Times New Roman"/>
          <w:color w:val="9282B1"/>
          <w:lang w:val="en-US"/>
        </w:rPr>
        <w:t xml:space="preserve"> </w:t>
      </w:r>
      <w:r w:rsidRPr="00DF68DB">
        <w:rPr>
          <w:rFonts w:ascii="Times New Roman" w:eastAsia="Times New Roman" w:hAnsi="Times New Roman" w:cs="Times New Roman"/>
          <w:lang w:val="en-US"/>
        </w:rPr>
        <w:t>has a long and respected history, read by many of today's leading forensic practitioners at the start of their careers. It continues to be the most indispensable guide to the practice of forensic medicine worldwide.</w:t>
      </w:r>
    </w:p>
    <w:p w:rsidR="00DF68DB" w:rsidRPr="00DF68DB" w:rsidRDefault="00DF68DB">
      <w:pPr>
        <w:rPr>
          <w:b/>
          <w:color w:val="000000" w:themeColor="text1"/>
          <w:sz w:val="40"/>
          <w:szCs w:val="40"/>
          <w:u w:val="single"/>
          <w:lang w:val="en-US"/>
        </w:rPr>
      </w:pPr>
    </w:p>
    <w:p w:rsidR="00DF68DB" w:rsidRDefault="00DF68DB">
      <w:pPr>
        <w:rPr>
          <w:rFonts w:ascii="Arial" w:hAnsi="Arial" w:cs="Arial"/>
          <w:b/>
          <w:sz w:val="40"/>
          <w:szCs w:val="40"/>
          <w:u w:val="single"/>
          <w:lang w:val="en-US"/>
        </w:rPr>
      </w:pPr>
      <w:proofErr w:type="spellStart"/>
      <w:r w:rsidRPr="00DF68DB">
        <w:rPr>
          <w:rFonts w:ascii="Arial" w:hAnsi="Arial" w:cs="Arial"/>
          <w:b/>
          <w:bCs/>
          <w:sz w:val="40"/>
          <w:szCs w:val="40"/>
          <w:u w:val="single"/>
        </w:rPr>
        <w:t>Manual</w:t>
      </w:r>
      <w:proofErr w:type="spellEnd"/>
      <w:r w:rsidRPr="00DF68DB">
        <w:rPr>
          <w:rFonts w:ascii="Arial" w:hAnsi="Arial" w:cs="Arial"/>
          <w:b/>
          <w:bCs/>
          <w:sz w:val="40"/>
          <w:szCs w:val="40"/>
          <w:u w:val="single"/>
          <w:lang w:val="en-US"/>
        </w:rPr>
        <w:t xml:space="preserve"> of </w:t>
      </w:r>
      <w:proofErr w:type="spellStart"/>
      <w:r w:rsidRPr="00DF68DB">
        <w:rPr>
          <w:rFonts w:ascii="Arial" w:hAnsi="Arial" w:cs="Arial"/>
          <w:b/>
          <w:sz w:val="40"/>
          <w:szCs w:val="40"/>
          <w:u w:val="single"/>
        </w:rPr>
        <w:t>surgical</w:t>
      </w:r>
      <w:proofErr w:type="spellEnd"/>
      <w:r w:rsidRPr="00DF68DB">
        <w:rPr>
          <w:rFonts w:ascii="Arial" w:hAnsi="Arial" w:cs="Arial"/>
          <w:b/>
          <w:sz w:val="40"/>
          <w:szCs w:val="40"/>
          <w:u w:val="single"/>
        </w:rPr>
        <w:t xml:space="preserve"> </w:t>
      </w:r>
      <w:proofErr w:type="spellStart"/>
      <w:r w:rsidRPr="00DF68DB">
        <w:rPr>
          <w:rFonts w:ascii="Arial" w:hAnsi="Arial" w:cs="Arial"/>
          <w:b/>
          <w:sz w:val="40"/>
          <w:szCs w:val="40"/>
          <w:u w:val="single"/>
        </w:rPr>
        <w:t>pathology</w:t>
      </w:r>
      <w:proofErr w:type="spellEnd"/>
    </w:p>
    <w:p w:rsidR="00DF68DB" w:rsidRPr="00DF68DB" w:rsidRDefault="00DF68DB" w:rsidP="00DF68DB">
      <w:pPr>
        <w:spacing w:after="60" w:line="240" w:lineRule="exact"/>
        <w:ind w:right="200"/>
        <w:rPr>
          <w:rFonts w:ascii="Times New Roman" w:eastAsia="Times New Roman" w:hAnsi="Times New Roman" w:cs="Times New Roman"/>
          <w:sz w:val="24"/>
          <w:szCs w:val="24"/>
          <w:lang w:val="en-US" w:eastAsia="ru-RU"/>
        </w:rPr>
      </w:pPr>
      <w:r w:rsidRPr="00DF68DB">
        <w:rPr>
          <w:rFonts w:ascii="Arial" w:eastAsia="Times New Roman" w:hAnsi="Arial" w:cs="Arial"/>
          <w:sz w:val="19"/>
          <w:szCs w:val="19"/>
          <w:lang w:val="en-US"/>
        </w:rPr>
        <w:t xml:space="preserve">Efficiently handle gross pathology specimens and write effective surgical pathology reports! This thoroughly revised </w:t>
      </w:r>
      <w:r w:rsidRPr="00DF68DB">
        <w:rPr>
          <w:rFonts w:ascii="Arial" w:eastAsia="Times New Roman" w:hAnsi="Arial" w:cs="Arial"/>
          <w:sz w:val="19"/>
          <w:szCs w:val="19"/>
          <w:lang w:val="en-US" w:eastAsia="ru-RU"/>
        </w:rPr>
        <w:t xml:space="preserve">3rd </w:t>
      </w:r>
      <w:r w:rsidRPr="00DF68DB">
        <w:rPr>
          <w:rFonts w:ascii="Arial" w:eastAsia="Times New Roman" w:hAnsi="Arial" w:cs="Arial"/>
          <w:sz w:val="19"/>
          <w:szCs w:val="19"/>
          <w:lang w:val="en-US"/>
        </w:rPr>
        <w:t>Edition integrates cutting-edge procedures as well as the latest staging and classification information.</w:t>
      </w:r>
    </w:p>
    <w:p w:rsidR="00DF68DB" w:rsidRPr="00DF68DB" w:rsidRDefault="00DF68DB" w:rsidP="00DF68DB">
      <w:pPr>
        <w:numPr>
          <w:ilvl w:val="0"/>
          <w:numId w:val="1"/>
        </w:numPr>
        <w:tabs>
          <w:tab w:val="left" w:pos="920"/>
        </w:tabs>
        <w:spacing w:before="60" w:after="0" w:line="245"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Includes</w:t>
      </w:r>
      <w:r w:rsidRPr="00DF68DB">
        <w:rPr>
          <w:rFonts w:ascii="Arial" w:eastAsia="Times New Roman" w:hAnsi="Arial" w:cs="Arial"/>
          <w:b/>
          <w:bCs/>
          <w:sz w:val="19"/>
          <w:szCs w:val="19"/>
          <w:lang w:val="en-US"/>
        </w:rPr>
        <w:t xml:space="preserve"> updated information,</w:t>
      </w:r>
      <w:r w:rsidRPr="00DF68DB">
        <w:rPr>
          <w:rFonts w:ascii="Arial" w:eastAsia="Times New Roman" w:hAnsi="Arial" w:cs="Arial"/>
          <w:sz w:val="19"/>
          <w:szCs w:val="19"/>
          <w:lang w:val="en-US"/>
        </w:rPr>
        <w:t xml:space="preserve"> ensuring you have the best knowledge available.</w:t>
      </w:r>
    </w:p>
    <w:p w:rsidR="00DF68DB" w:rsidRPr="00DF68DB" w:rsidRDefault="00DF68DB" w:rsidP="00DF68DB">
      <w:pPr>
        <w:numPr>
          <w:ilvl w:val="0"/>
          <w:numId w:val="1"/>
        </w:numPr>
        <w:tabs>
          <w:tab w:val="left" w:pos="920"/>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Features</w:t>
      </w:r>
      <w:r w:rsidRPr="00DF68DB">
        <w:rPr>
          <w:rFonts w:ascii="Arial" w:eastAsia="Times New Roman" w:hAnsi="Arial" w:cs="Arial"/>
          <w:b/>
          <w:bCs/>
          <w:sz w:val="19"/>
          <w:szCs w:val="19"/>
          <w:lang w:val="en-US"/>
        </w:rPr>
        <w:t xml:space="preserve"> more than </w:t>
      </w:r>
      <w:r w:rsidRPr="00DF68DB">
        <w:rPr>
          <w:rFonts w:ascii="Arial" w:eastAsia="Times New Roman" w:hAnsi="Arial" w:cs="Arial"/>
          <w:b/>
          <w:bCs/>
          <w:sz w:val="19"/>
          <w:szCs w:val="19"/>
          <w:lang w:val="en-US" w:eastAsia="ru-RU"/>
        </w:rPr>
        <w:t xml:space="preserve">150 </w:t>
      </w:r>
      <w:r w:rsidRPr="00DF68DB">
        <w:rPr>
          <w:rFonts w:ascii="Arial" w:eastAsia="Times New Roman" w:hAnsi="Arial" w:cs="Arial"/>
          <w:b/>
          <w:bCs/>
          <w:sz w:val="19"/>
          <w:szCs w:val="19"/>
          <w:lang w:val="en-US"/>
        </w:rPr>
        <w:t>tables</w:t>
      </w:r>
      <w:r w:rsidRPr="00DF68DB">
        <w:rPr>
          <w:rFonts w:ascii="Arial" w:eastAsia="Times New Roman" w:hAnsi="Arial" w:cs="Arial"/>
          <w:sz w:val="19"/>
          <w:szCs w:val="19"/>
          <w:lang w:val="en-US"/>
        </w:rPr>
        <w:t xml:space="preserve"> that examine the interpretation of </w:t>
      </w:r>
      <w:proofErr w:type="spellStart"/>
      <w:r w:rsidRPr="00DF68DB">
        <w:rPr>
          <w:rFonts w:ascii="Arial" w:eastAsia="Times New Roman" w:hAnsi="Arial" w:cs="Arial"/>
          <w:sz w:val="19"/>
          <w:szCs w:val="19"/>
          <w:lang w:val="en-US"/>
        </w:rPr>
        <w:t>histochemical</w:t>
      </w:r>
      <w:proofErr w:type="spellEnd"/>
      <w:r w:rsidRPr="00DF68DB">
        <w:rPr>
          <w:rFonts w:ascii="Arial" w:eastAsia="Times New Roman" w:hAnsi="Arial" w:cs="Arial"/>
          <w:sz w:val="19"/>
          <w:szCs w:val="19"/>
          <w:lang w:val="en-US"/>
        </w:rPr>
        <w:t xml:space="preserve"> stains, electron microscopy findings, cytogenetic changes, pathologic findings predicting </w:t>
      </w:r>
      <w:proofErr w:type="spellStart"/>
      <w:r w:rsidRPr="00DF68DB">
        <w:rPr>
          <w:rFonts w:ascii="Arial" w:eastAsia="Times New Roman" w:hAnsi="Arial" w:cs="Arial"/>
          <w:sz w:val="19"/>
          <w:szCs w:val="19"/>
          <w:lang w:val="en-US"/>
        </w:rPr>
        <w:t>germline</w:t>
      </w:r>
      <w:proofErr w:type="spellEnd"/>
      <w:r w:rsidRPr="00DF68DB">
        <w:rPr>
          <w:rFonts w:ascii="Arial" w:eastAsia="Times New Roman" w:hAnsi="Arial" w:cs="Arial"/>
          <w:sz w:val="19"/>
          <w:szCs w:val="19"/>
          <w:lang w:val="en-US"/>
        </w:rPr>
        <w:t xml:space="preserve"> mutations, and much more.</w:t>
      </w:r>
      <w:r w:rsidRPr="00DF68DB">
        <w:rPr>
          <w:rFonts w:ascii="Arial" w:eastAsia="Times New Roman" w:hAnsi="Arial" w:cs="Arial"/>
          <w:b/>
          <w:bCs/>
          <w:sz w:val="19"/>
          <w:szCs w:val="19"/>
          <w:lang w:val="en-US"/>
        </w:rPr>
        <w:t xml:space="preserve"> New and updated tables</w:t>
      </w:r>
      <w:r w:rsidRPr="00DF68DB">
        <w:rPr>
          <w:rFonts w:ascii="Arial" w:eastAsia="Times New Roman" w:hAnsi="Arial" w:cs="Arial"/>
          <w:sz w:val="19"/>
          <w:szCs w:val="19"/>
          <w:lang w:val="en-US"/>
        </w:rPr>
        <w:t xml:space="preserve"> for </w:t>
      </w:r>
      <w:proofErr w:type="spellStart"/>
      <w:r w:rsidRPr="00DF68DB">
        <w:rPr>
          <w:rFonts w:ascii="Arial" w:eastAsia="Times New Roman" w:hAnsi="Arial" w:cs="Arial"/>
          <w:sz w:val="19"/>
          <w:szCs w:val="19"/>
          <w:lang w:val="en-US"/>
        </w:rPr>
        <w:t>immunohistochemistry</w:t>
      </w:r>
      <w:proofErr w:type="spellEnd"/>
      <w:r w:rsidRPr="00DF68DB">
        <w:rPr>
          <w:rFonts w:ascii="Arial" w:eastAsia="Times New Roman" w:hAnsi="Arial" w:cs="Arial"/>
          <w:sz w:val="19"/>
          <w:szCs w:val="19"/>
          <w:lang w:val="en-US"/>
        </w:rPr>
        <w:t xml:space="preserve"> include the differential diagnosis of brain tumors, lung tumors, and </w:t>
      </w:r>
      <w:proofErr w:type="spellStart"/>
      <w:r w:rsidRPr="00DF68DB">
        <w:rPr>
          <w:rFonts w:ascii="Arial" w:eastAsia="Times New Roman" w:hAnsi="Arial" w:cs="Arial"/>
          <w:sz w:val="19"/>
          <w:szCs w:val="19"/>
          <w:lang w:val="en-US"/>
        </w:rPr>
        <w:t>amyloid</w:t>
      </w:r>
      <w:proofErr w:type="spellEnd"/>
      <w:r w:rsidRPr="00DF68DB">
        <w:rPr>
          <w:rFonts w:ascii="Arial" w:eastAsia="Times New Roman" w:hAnsi="Arial" w:cs="Arial"/>
          <w:sz w:val="19"/>
          <w:szCs w:val="19"/>
          <w:lang w:val="en-US"/>
        </w:rPr>
        <w:t xml:space="preserve"> types. Other new tables cover the </w:t>
      </w:r>
      <w:proofErr w:type="spellStart"/>
      <w:r w:rsidRPr="00DF68DB">
        <w:rPr>
          <w:rFonts w:ascii="Arial" w:eastAsia="Times New Roman" w:hAnsi="Arial" w:cs="Arial"/>
          <w:sz w:val="19"/>
          <w:szCs w:val="19"/>
          <w:lang w:val="en-US"/>
        </w:rPr>
        <w:t>histologic</w:t>
      </w:r>
      <w:proofErr w:type="spellEnd"/>
      <w:r w:rsidRPr="00DF68DB">
        <w:rPr>
          <w:rFonts w:ascii="Arial" w:eastAsia="Times New Roman" w:hAnsi="Arial" w:cs="Arial"/>
          <w:sz w:val="19"/>
          <w:szCs w:val="19"/>
          <w:lang w:val="en-US"/>
        </w:rPr>
        <w:t xml:space="preserve"> appearance of viruses (including viral-related </w:t>
      </w:r>
      <w:proofErr w:type="spellStart"/>
      <w:r w:rsidRPr="00DF68DB">
        <w:rPr>
          <w:rFonts w:ascii="Arial" w:eastAsia="Times New Roman" w:hAnsi="Arial" w:cs="Arial"/>
          <w:sz w:val="19"/>
          <w:szCs w:val="19"/>
          <w:lang w:val="en-US"/>
        </w:rPr>
        <w:t>neoplasms</w:t>
      </w:r>
      <w:proofErr w:type="spellEnd"/>
      <w:r w:rsidRPr="00DF68DB">
        <w:rPr>
          <w:rFonts w:ascii="Arial" w:eastAsia="Times New Roman" w:hAnsi="Arial" w:cs="Arial"/>
          <w:sz w:val="19"/>
          <w:szCs w:val="19"/>
          <w:lang w:val="en-US"/>
        </w:rPr>
        <w:t xml:space="preserve">) and fungi, and the optical properties of commonly seen </w:t>
      </w:r>
      <w:proofErr w:type="spellStart"/>
      <w:r w:rsidRPr="00DF68DB">
        <w:rPr>
          <w:rFonts w:ascii="Arial" w:eastAsia="Times New Roman" w:hAnsi="Arial" w:cs="Arial"/>
          <w:sz w:val="19"/>
          <w:szCs w:val="19"/>
          <w:lang w:val="en-US"/>
        </w:rPr>
        <w:t>noncellular</w:t>
      </w:r>
      <w:proofErr w:type="spellEnd"/>
      <w:r w:rsidRPr="00DF68DB">
        <w:rPr>
          <w:rFonts w:ascii="Arial" w:eastAsia="Times New Roman" w:hAnsi="Arial" w:cs="Arial"/>
          <w:sz w:val="19"/>
          <w:szCs w:val="19"/>
          <w:lang w:val="en-US"/>
        </w:rPr>
        <w:t xml:space="preserve"> material.</w:t>
      </w:r>
    </w:p>
    <w:p w:rsidR="00DF68DB" w:rsidRPr="00DF68DB" w:rsidRDefault="00DF68DB" w:rsidP="00DF68DB">
      <w:pPr>
        <w:numPr>
          <w:ilvl w:val="0"/>
          <w:numId w:val="1"/>
        </w:numPr>
        <w:tabs>
          <w:tab w:val="left" w:pos="925"/>
        </w:tabs>
        <w:spacing w:after="0" w:line="240" w:lineRule="exact"/>
        <w:ind w:left="920" w:right="340" w:hanging="360"/>
        <w:jc w:val="both"/>
        <w:rPr>
          <w:rFonts w:ascii="Arial" w:eastAsia="Times New Roman" w:hAnsi="Arial" w:cs="Arial"/>
          <w:sz w:val="19"/>
          <w:szCs w:val="19"/>
          <w:lang w:val="en-US"/>
        </w:rPr>
      </w:pPr>
      <w:r w:rsidRPr="00DF68DB">
        <w:rPr>
          <w:rFonts w:ascii="Arial" w:eastAsia="Times New Roman" w:hAnsi="Arial" w:cs="Arial"/>
          <w:sz w:val="19"/>
          <w:szCs w:val="19"/>
          <w:lang w:val="en-US"/>
        </w:rPr>
        <w:t>Incorporates the</w:t>
      </w:r>
      <w:r w:rsidRPr="00DF68DB">
        <w:rPr>
          <w:rFonts w:ascii="Arial" w:eastAsia="Times New Roman" w:hAnsi="Arial" w:cs="Arial"/>
          <w:b/>
          <w:bCs/>
          <w:sz w:val="19"/>
          <w:szCs w:val="19"/>
          <w:lang w:val="en-US"/>
        </w:rPr>
        <w:t xml:space="preserve"> TNM classification systems from the new 7th edition AJCC manual,</w:t>
      </w:r>
      <w:r w:rsidRPr="00DF68DB">
        <w:rPr>
          <w:rFonts w:ascii="Arial" w:eastAsia="Times New Roman" w:hAnsi="Arial" w:cs="Arial"/>
          <w:sz w:val="19"/>
          <w:szCs w:val="19"/>
          <w:lang w:val="en-US"/>
        </w:rPr>
        <w:t xml:space="preserve"> including additional guidelines for the assessment of critical pathologic features.</w:t>
      </w:r>
    </w:p>
    <w:p w:rsidR="00DF68DB" w:rsidRPr="00DF68DB" w:rsidRDefault="00DF68DB" w:rsidP="00DF68DB">
      <w:pPr>
        <w:numPr>
          <w:ilvl w:val="0"/>
          <w:numId w:val="1"/>
        </w:numPr>
        <w:tabs>
          <w:tab w:val="left" w:pos="906"/>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Abundantly illustrated with</w:t>
      </w:r>
      <w:r w:rsidRPr="00DF68DB">
        <w:rPr>
          <w:rFonts w:ascii="Arial" w:eastAsia="Times New Roman" w:hAnsi="Arial" w:cs="Arial"/>
          <w:b/>
          <w:bCs/>
          <w:sz w:val="19"/>
          <w:szCs w:val="19"/>
          <w:lang w:val="en-US"/>
        </w:rPr>
        <w:t xml:space="preserve"> high quality artwork</w:t>
      </w:r>
      <w:r w:rsidRPr="00DF68DB">
        <w:rPr>
          <w:rFonts w:ascii="Arial" w:eastAsia="Times New Roman" w:hAnsi="Arial" w:cs="Arial"/>
          <w:sz w:val="19"/>
          <w:szCs w:val="19"/>
          <w:lang w:val="en-US"/>
        </w:rPr>
        <w:t xml:space="preserve"> including </w:t>
      </w:r>
      <w:r w:rsidRPr="00DF68DB">
        <w:rPr>
          <w:rFonts w:ascii="Arial" w:eastAsia="Times New Roman" w:hAnsi="Arial" w:cs="Arial"/>
          <w:sz w:val="19"/>
          <w:szCs w:val="19"/>
          <w:lang w:val="en-US" w:eastAsia="ru-RU"/>
        </w:rPr>
        <w:t xml:space="preserve">39 </w:t>
      </w:r>
      <w:r w:rsidRPr="00DF68DB">
        <w:rPr>
          <w:rFonts w:ascii="Arial" w:eastAsia="Times New Roman" w:hAnsi="Arial" w:cs="Arial"/>
          <w:sz w:val="19"/>
          <w:szCs w:val="19"/>
          <w:lang w:val="en-US"/>
        </w:rPr>
        <w:t xml:space="preserve">illustrations for the new tables on viruses, fungi, and </w:t>
      </w:r>
      <w:proofErr w:type="spellStart"/>
      <w:r w:rsidRPr="00DF68DB">
        <w:rPr>
          <w:rFonts w:ascii="Arial" w:eastAsia="Times New Roman" w:hAnsi="Arial" w:cs="Arial"/>
          <w:sz w:val="19"/>
          <w:szCs w:val="19"/>
          <w:lang w:val="en-US"/>
        </w:rPr>
        <w:t>noncellular</w:t>
      </w:r>
      <w:proofErr w:type="spellEnd"/>
      <w:r w:rsidRPr="00DF68DB">
        <w:rPr>
          <w:rFonts w:ascii="Arial" w:eastAsia="Times New Roman" w:hAnsi="Arial" w:cs="Arial"/>
          <w:sz w:val="19"/>
          <w:szCs w:val="19"/>
          <w:lang w:val="en-US"/>
        </w:rPr>
        <w:t xml:space="preserve"> material to aid in their recognition.</w:t>
      </w:r>
    </w:p>
    <w:p w:rsidR="00DF68DB" w:rsidRPr="00DF68DB" w:rsidRDefault="00DF68DB" w:rsidP="00DF68DB">
      <w:pPr>
        <w:numPr>
          <w:ilvl w:val="0"/>
          <w:numId w:val="1"/>
        </w:numPr>
        <w:tabs>
          <w:tab w:val="left" w:pos="920"/>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Presents a</w:t>
      </w:r>
      <w:r w:rsidRPr="00DF68DB">
        <w:rPr>
          <w:rFonts w:ascii="Arial" w:eastAsia="Times New Roman" w:hAnsi="Arial" w:cs="Arial"/>
          <w:b/>
          <w:bCs/>
          <w:sz w:val="19"/>
          <w:szCs w:val="19"/>
          <w:lang w:val="en-US"/>
        </w:rPr>
        <w:t xml:space="preserve"> user-friendly design,</w:t>
      </w:r>
      <w:r w:rsidRPr="00DF68DB">
        <w:rPr>
          <w:rFonts w:ascii="Arial" w:eastAsia="Times New Roman" w:hAnsi="Arial" w:cs="Arial"/>
          <w:sz w:val="19"/>
          <w:szCs w:val="19"/>
          <w:lang w:val="en-US"/>
        </w:rPr>
        <w:t xml:space="preserve"> concise paragraphs, numbered lists, and bulleted material throughout the text that makes information easy to find.</w:t>
      </w:r>
    </w:p>
    <w:p w:rsidR="00DF68DB" w:rsidRPr="00DF68DB" w:rsidRDefault="00DF68DB" w:rsidP="00DF68DB">
      <w:pPr>
        <w:numPr>
          <w:ilvl w:val="0"/>
          <w:numId w:val="1"/>
        </w:numPr>
        <w:tabs>
          <w:tab w:val="left" w:pos="910"/>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Offers</w:t>
      </w:r>
      <w:r w:rsidRPr="00DF68DB">
        <w:rPr>
          <w:rFonts w:ascii="Arial" w:eastAsia="Times New Roman" w:hAnsi="Arial" w:cs="Arial"/>
          <w:b/>
          <w:bCs/>
          <w:sz w:val="19"/>
          <w:szCs w:val="19"/>
          <w:lang w:val="en-US"/>
        </w:rPr>
        <w:t xml:space="preserve"> detailed instructions</w:t>
      </w:r>
      <w:r w:rsidRPr="00DF68DB">
        <w:rPr>
          <w:rFonts w:ascii="Arial" w:eastAsia="Times New Roman" w:hAnsi="Arial" w:cs="Arial"/>
          <w:sz w:val="19"/>
          <w:szCs w:val="19"/>
          <w:lang w:val="en-US"/>
        </w:rPr>
        <w:t xml:space="preserve"> on the dissection, description, and sampling of specimens.</w:t>
      </w:r>
    </w:p>
    <w:p w:rsidR="00DF68DB" w:rsidRPr="00DF68DB" w:rsidRDefault="00DF68DB" w:rsidP="00DF68DB">
      <w:pPr>
        <w:numPr>
          <w:ilvl w:val="0"/>
          <w:numId w:val="1"/>
        </w:numPr>
        <w:tabs>
          <w:tab w:val="left" w:pos="920"/>
        </w:tabs>
        <w:spacing w:after="0" w:line="240" w:lineRule="exact"/>
        <w:ind w:left="920" w:right="200" w:hanging="360"/>
        <w:rPr>
          <w:rFonts w:ascii="Arial" w:eastAsia="Times New Roman" w:hAnsi="Arial" w:cs="Arial"/>
          <w:sz w:val="19"/>
          <w:szCs w:val="19"/>
          <w:lang w:val="en-US"/>
        </w:rPr>
      </w:pPr>
      <w:r w:rsidRPr="00DF68DB">
        <w:rPr>
          <w:rFonts w:ascii="Arial" w:eastAsia="Times New Roman" w:hAnsi="Arial" w:cs="Arial"/>
          <w:sz w:val="19"/>
          <w:szCs w:val="19"/>
          <w:lang w:val="en-US"/>
        </w:rPr>
        <w:t>Includes</w:t>
      </w:r>
      <w:r w:rsidRPr="00DF68DB">
        <w:rPr>
          <w:rFonts w:ascii="Arial" w:eastAsia="Times New Roman" w:hAnsi="Arial" w:cs="Arial"/>
          <w:b/>
          <w:bCs/>
          <w:sz w:val="19"/>
          <w:szCs w:val="19"/>
          <w:lang w:val="en-US"/>
        </w:rPr>
        <w:t xml:space="preserve"> useful guidance</w:t>
      </w:r>
      <w:r w:rsidRPr="00DF68DB">
        <w:rPr>
          <w:rFonts w:ascii="Arial" w:eastAsia="Times New Roman" w:hAnsi="Arial" w:cs="Arial"/>
          <w:sz w:val="19"/>
          <w:szCs w:val="19"/>
          <w:lang w:val="en-US"/>
        </w:rPr>
        <w:t xml:space="preserve"> on operating room consultations, safety, microscope use, and error prevention.</w:t>
      </w:r>
    </w:p>
    <w:p w:rsidR="00DF68DB" w:rsidRPr="00DF68DB" w:rsidRDefault="00DF68DB" w:rsidP="00DF68DB">
      <w:pPr>
        <w:numPr>
          <w:ilvl w:val="0"/>
          <w:numId w:val="1"/>
        </w:numPr>
        <w:tabs>
          <w:tab w:val="left" w:pos="925"/>
        </w:tabs>
        <w:spacing w:after="0" w:line="240" w:lineRule="exact"/>
        <w:ind w:left="920" w:right="980" w:hanging="360"/>
        <w:rPr>
          <w:rFonts w:ascii="Arial" w:eastAsia="Times New Roman" w:hAnsi="Arial" w:cs="Arial"/>
          <w:sz w:val="19"/>
          <w:szCs w:val="19"/>
          <w:lang w:val="en-US"/>
        </w:rPr>
      </w:pPr>
      <w:r w:rsidRPr="00DF68DB">
        <w:rPr>
          <w:rFonts w:ascii="Arial" w:eastAsia="Times New Roman" w:hAnsi="Arial" w:cs="Arial"/>
          <w:sz w:val="19"/>
          <w:szCs w:val="19"/>
          <w:lang w:val="en-US"/>
        </w:rPr>
        <w:t>Explains the application of pathology reports to patient management.</w:t>
      </w:r>
    </w:p>
    <w:p w:rsidR="00DF68DB" w:rsidRPr="00DF68DB" w:rsidRDefault="00DF68DB" w:rsidP="00DF68DB">
      <w:pPr>
        <w:numPr>
          <w:ilvl w:val="0"/>
          <w:numId w:val="1"/>
        </w:numPr>
        <w:tabs>
          <w:tab w:val="left" w:pos="920"/>
        </w:tabs>
        <w:spacing w:after="0" w:line="240" w:lineRule="exact"/>
        <w:ind w:left="920" w:right="980" w:hanging="360"/>
        <w:rPr>
          <w:rFonts w:ascii="Arial" w:eastAsia="Times New Roman" w:hAnsi="Arial" w:cs="Arial"/>
          <w:sz w:val="19"/>
          <w:szCs w:val="19"/>
          <w:lang w:val="en-US"/>
        </w:rPr>
      </w:pPr>
      <w:r w:rsidRPr="00DF68DB">
        <w:rPr>
          <w:rFonts w:ascii="Arial" w:eastAsia="Times New Roman" w:hAnsi="Arial" w:cs="Arial"/>
          <w:sz w:val="19"/>
          <w:szCs w:val="19"/>
          <w:lang w:val="en-US"/>
        </w:rPr>
        <w:t>Discusses how to avoid frequent errors and pitfalls in pathology specimen processing.</w:t>
      </w:r>
    </w:p>
    <w:p w:rsidR="00DF68DB" w:rsidRPr="00DF68DB" w:rsidRDefault="00DF68DB">
      <w:pPr>
        <w:rPr>
          <w:b/>
          <w:color w:val="000000" w:themeColor="text1"/>
          <w:sz w:val="40"/>
          <w:szCs w:val="40"/>
          <w:u w:val="single"/>
          <w:lang w:val="en-US"/>
        </w:rPr>
      </w:pPr>
    </w:p>
    <w:sectPr w:rsidR="00DF68DB" w:rsidRPr="00DF68DB" w:rsidSect="00B42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1">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2">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3">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4">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5">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6">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7">
      <w:start w:val="1"/>
      <w:numFmt w:val="bullet"/>
      <w:lvlText w:val="•"/>
      <w:lvlJc w:val="left"/>
      <w:rPr>
        <w:rFonts w:ascii="Arial" w:hAnsi="Arial" w:cs="Arial"/>
        <w:b/>
        <w:bCs/>
        <w:i w:val="0"/>
        <w:iCs w:val="0"/>
        <w:smallCaps w:val="0"/>
        <w:strike w:val="0"/>
        <w:color w:val="FFFFFF"/>
        <w:spacing w:val="0"/>
        <w:w w:val="100"/>
        <w:position w:val="0"/>
        <w:sz w:val="17"/>
        <w:szCs w:val="17"/>
        <w:u w:val="none"/>
      </w:rPr>
    </w:lvl>
    <w:lvl w:ilvl="8">
      <w:start w:val="1"/>
      <w:numFmt w:val="bullet"/>
      <w:lvlText w:val="•"/>
      <w:lvlJc w:val="left"/>
      <w:rPr>
        <w:rFonts w:ascii="Arial" w:hAnsi="Arial" w:cs="Arial"/>
        <w:b/>
        <w:bCs/>
        <w:i w:val="0"/>
        <w:iCs w:val="0"/>
        <w:smallCaps w:val="0"/>
        <w:strike w:val="0"/>
        <w:color w:val="FFFFFF"/>
        <w:spacing w:val="0"/>
        <w:w w:val="100"/>
        <w:position w:val="0"/>
        <w:sz w:val="17"/>
        <w:szCs w:val="1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8DB"/>
    <w:rsid w:val="00070A7F"/>
    <w:rsid w:val="001D493B"/>
    <w:rsid w:val="002F7589"/>
    <w:rsid w:val="005D7C1D"/>
    <w:rsid w:val="009547DA"/>
    <w:rsid w:val="00B10823"/>
    <w:rsid w:val="00B426B4"/>
    <w:rsid w:val="00BA7920"/>
    <w:rsid w:val="00BE568D"/>
    <w:rsid w:val="00DF68DB"/>
    <w:rsid w:val="00E54C81"/>
    <w:rsid w:val="00F72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4337</Characters>
  <Application>Microsoft Office Word</Application>
  <DocSecurity>0</DocSecurity>
  <Lines>36</Lines>
  <Paragraphs>10</Paragraphs>
  <ScaleCrop>false</ScaleCrop>
  <Company>Unknow</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2014-06-13T14:53:00Z</dcterms:created>
  <dcterms:modified xsi:type="dcterms:W3CDTF">2014-06-13T14:59:00Z</dcterms:modified>
</cp:coreProperties>
</file>