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D2" w:rsidRPr="009E3ED2" w:rsidRDefault="009E3ED2" w:rsidP="009E3E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3ED2">
        <w:rPr>
          <w:rFonts w:ascii="Times New Roman" w:hAnsi="Times New Roman" w:cs="Times New Roman"/>
          <w:b/>
          <w:sz w:val="32"/>
          <w:szCs w:val="32"/>
        </w:rPr>
        <w:t>ЯНВАРЬ, ФЕВРАЛЬ</w:t>
      </w:r>
      <w:r w:rsidR="00FE1B7D">
        <w:rPr>
          <w:rFonts w:ascii="Times New Roman" w:hAnsi="Times New Roman" w:cs="Times New Roman"/>
          <w:b/>
          <w:sz w:val="32"/>
          <w:szCs w:val="32"/>
        </w:rPr>
        <w:t>, МАРТ</w:t>
      </w:r>
      <w:r w:rsidRPr="009E3ED2">
        <w:rPr>
          <w:rFonts w:ascii="Times New Roman" w:hAnsi="Times New Roman" w:cs="Times New Roman"/>
          <w:b/>
          <w:sz w:val="32"/>
          <w:szCs w:val="32"/>
        </w:rPr>
        <w:t xml:space="preserve"> 2022</w:t>
      </w:r>
    </w:p>
    <w:p w:rsidR="00B94C50" w:rsidRDefault="000D6A4D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Антибактериальное действие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наночастиц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серебра / Р.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А. Ю. Васильков, Т. Н. Соколова, И. Е.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Бутенко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С. М. Смотрин, Н.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Иоскевич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Новости хирургии. – 2022. – Т. 30, № 1. – С. 38-45.</w:t>
      </w:r>
    </w:p>
    <w:p w:rsidR="00B94C50" w:rsidRDefault="004F540A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Асептический некроз правого рога аномально развитой матки после перевязки восходящей ветки правой маточной артерии / А. Р.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Плоцкий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К. В. Гончар, А. Л. Гурин, И. И. Кузьмич, Е. В. Кононов // Акушерство и гинекология. – 2022. – № 1. – С. 158-162.</w:t>
      </w:r>
    </w:p>
    <w:p w:rsidR="00B94C50" w:rsidRDefault="002F1B6F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М. А. Дифференцированный подход к назначению антидепрессантов / М.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Ассанович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1. – С. 50-54.</w:t>
      </w:r>
    </w:p>
    <w:p w:rsidR="00B94C50" w:rsidRDefault="00967854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Борисенко, Т. Л. Роль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гиперурикемии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в развитии фибрилляции предсердий / Т. Л. Борисенко, В.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Cardiac</w:t>
      </w:r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Arrhythmias</w:t>
      </w:r>
      <w:r w:rsidRPr="00B94C50">
        <w:rPr>
          <w:rFonts w:ascii="Times New Roman" w:hAnsi="Times New Roman" w:cs="Times New Roman"/>
          <w:sz w:val="32"/>
          <w:szCs w:val="32"/>
        </w:rPr>
        <w:t>. – 2021. – Т. 1, № 1. – С. 7-16.</w:t>
      </w:r>
    </w:p>
    <w:p w:rsidR="00CE6CCD" w:rsidRPr="00B94C50" w:rsidRDefault="000D6DAB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Влияние ранней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некрэктомии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у беременных крыс с глубоким термическим ожогом кожи на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кислородзависимые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процессы в организме матери и дальнейшее течение беременности / Т.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Ковальчук-Болбатун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В. В. Зинчук, С. М. Смотрин, И. Э. Гуляй // Российский физиологический журнал им. И.М. Сеченова. – 2022. – Т. 108, № 3. – С. 296-303.</w:t>
      </w:r>
    </w:p>
    <w:p w:rsidR="00860447" w:rsidRPr="00B94C50" w:rsidRDefault="00642A3E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Возможности ранней диагностики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антрациклин-индуцированной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кардиомиопатии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при проведении химиотерапии рака молочной железы / В.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М.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Курбат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И.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Карпуть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А. Ю.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Рубинский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Е.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Евстрат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Т. А. Смирнова // Кардиология в Беларуси. – 2022. – Т. 14, № 1. – С. 95-107.</w:t>
      </w:r>
    </w:p>
    <w:p w:rsidR="00492BA7" w:rsidRPr="00B94C50" w:rsidRDefault="00492BA7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Головокружение (периферическое системное головокружение) / Г. М.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С. Д. Кулеш, А. </w:t>
      </w:r>
      <w:r w:rsidR="00A1607C" w:rsidRPr="00B94C50">
        <w:rPr>
          <w:rFonts w:ascii="Times New Roman" w:hAnsi="Times New Roman" w:cs="Times New Roman"/>
          <w:sz w:val="32"/>
          <w:szCs w:val="32"/>
        </w:rPr>
        <w:t>А. Ога</w:t>
      </w:r>
      <w:r w:rsidRPr="00B94C50">
        <w:rPr>
          <w:rFonts w:ascii="Times New Roman" w:hAnsi="Times New Roman" w:cs="Times New Roman"/>
          <w:sz w:val="32"/>
          <w:szCs w:val="32"/>
        </w:rPr>
        <w:t>несян, Н. А. Оганесян // Медицинские новости. – 2022. – № 1. – С. 12-21.</w:t>
      </w:r>
    </w:p>
    <w:p w:rsidR="00B94C50" w:rsidRDefault="00A1607C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Головокружение (центральное системное и несистемное головокружение) / Г. М.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Авдей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С. Д. Кулеш, А. А. Оганесян, Н. А. Оганесян // Медицинские новости. – 2022. – № 2. – С. 13-23.</w:t>
      </w:r>
    </w:p>
    <w:p w:rsidR="00B94C50" w:rsidRDefault="002363A5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lastRenderedPageBreak/>
        <w:t>Гусаковская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Э. В. Развитие острого экспериментального перитонита при введении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L</w:t>
      </w:r>
      <w:r w:rsidRPr="00B94C50">
        <w:rPr>
          <w:rFonts w:ascii="Times New Roman" w:hAnsi="Times New Roman" w:cs="Times New Roman"/>
          <w:sz w:val="32"/>
          <w:szCs w:val="32"/>
        </w:rPr>
        <w:t xml:space="preserve">-Аргинина / Э.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Гусаковская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Н. Е. Максимович // Наука и инновации. – 2022. – № 2 (228). – С. 78-83.</w:t>
      </w:r>
    </w:p>
    <w:p w:rsidR="00B94C50" w:rsidRDefault="007C11E9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Р.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Наночастицы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серебра как средство борьбы с вирусами, в том числе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94C50">
        <w:rPr>
          <w:rFonts w:ascii="Times New Roman" w:hAnsi="Times New Roman" w:cs="Times New Roman"/>
          <w:sz w:val="32"/>
          <w:szCs w:val="32"/>
        </w:rPr>
        <w:t xml:space="preserve">-19 / Р.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Довнар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Медицинские новости. – 2022. – № 12 (327). – С. 27-32.</w:t>
      </w:r>
    </w:p>
    <w:p w:rsidR="00B94C50" w:rsidRDefault="00980135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Л. В. Потенциальная роль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бета-блокаторов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препаратов магния при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94C50">
        <w:rPr>
          <w:rFonts w:ascii="Times New Roman" w:hAnsi="Times New Roman" w:cs="Times New Roman"/>
          <w:sz w:val="32"/>
          <w:szCs w:val="32"/>
        </w:rPr>
        <w:t xml:space="preserve">-19 инфекции / Л.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Кежун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Медицинские новости. – 2021. – № 12 (327). – С. 16-22.</w:t>
      </w:r>
    </w:p>
    <w:p w:rsidR="00B94C50" w:rsidRDefault="00FC596D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Коррекция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гипергомоцистеинемии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у пациентов с заболеваниями артерий нижних конечностей после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реваскуляризации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 О. В. Панасюк, Э.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Могилевец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А. В. Наумов, П. А. Горячев // Здравоохранение. – 2021. – № 12. – С. 45-51.</w:t>
      </w:r>
    </w:p>
    <w:p w:rsidR="00B94C50" w:rsidRDefault="0005643C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Красильникова, В. Л. Влияние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ацетилцистеина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декасаметазона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антиоксидантную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систему и процессы перекисного окисления липидов в тканях глаза при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увеите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 В. Л. Красильникова, В. Г.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Мармыш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И. Э. Гуляй // Здравоохранение. – 2022. – № 2. – С. 59-67.</w:t>
      </w:r>
    </w:p>
    <w:p w:rsidR="00B94C50" w:rsidRDefault="00A92DCD" w:rsidP="00B94C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Кринец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Ж. М. Оценка эффективности комплексного консервативного лечения пациентов с эндокринной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офтальмопатией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легкой степени тяжести / Ж. М.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Кринец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В. Л. Красильникова // Здравоохранение. – 2022. – № 3. – С. 54-60.</w:t>
      </w:r>
    </w:p>
    <w:p w:rsidR="00B94C50" w:rsidRDefault="00DF4621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Мелатонин как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биомаркер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острого повреждения легких при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B94C50">
        <w:rPr>
          <w:rFonts w:ascii="Times New Roman" w:hAnsi="Times New Roman" w:cs="Times New Roman"/>
          <w:sz w:val="32"/>
          <w:szCs w:val="32"/>
        </w:rPr>
        <w:t xml:space="preserve">-19-ассоциированной пневмонии / О.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В.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В. Р.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М. В. Ершова // Медицинские новости. – 2021. – № 12 (327). – С. 23-26.</w:t>
      </w:r>
    </w:p>
    <w:p w:rsidR="004B3B2C" w:rsidRPr="00B94C50" w:rsidRDefault="00EB5C26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Опыт использования препарата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сакубитрил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валсартан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у пациента с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дилатационной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кардиомиопатией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хронической сердечной недостаточностью со сниженной фракцией выброса и желудочковыми нарушениями ритма / В.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Л. В.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Колоцей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М. Ч.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Матюкевич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С. Н. Гриб, Е. </w:t>
      </w:r>
      <w:r w:rsidRPr="00B94C50">
        <w:rPr>
          <w:rFonts w:ascii="Times New Roman" w:hAnsi="Times New Roman" w:cs="Times New Roman"/>
          <w:sz w:val="32"/>
          <w:szCs w:val="32"/>
        </w:rPr>
        <w:lastRenderedPageBreak/>
        <w:t xml:space="preserve">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Снежицкая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Г.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Мадекина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Ж. Г. Епифанова, Е. Н. Черная //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Cardiac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Arrhythmias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. –2021. – Т. 1, № 1. – С. 39-48. </w:t>
      </w:r>
    </w:p>
    <w:p w:rsidR="004B3B2C" w:rsidRPr="00B94C50" w:rsidRDefault="004B3B2C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Сравнительная эффективность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хлорталидона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гидрохлортиазида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в составе комбинированного лечения пациентов с артериальной гипертензией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B94C50">
        <w:rPr>
          <w:rFonts w:ascii="Times New Roman" w:hAnsi="Times New Roman" w:cs="Times New Roman"/>
          <w:sz w:val="32"/>
          <w:szCs w:val="32"/>
        </w:rPr>
        <w:t>-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B94C50">
        <w:rPr>
          <w:rFonts w:ascii="Times New Roman" w:hAnsi="Times New Roman" w:cs="Times New Roman"/>
          <w:sz w:val="32"/>
          <w:szCs w:val="32"/>
        </w:rPr>
        <w:t xml:space="preserve"> с абдоминальным ожирением / В. И.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Шишко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О. А.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Карпович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Д. Г.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Корнелюк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>, Е. В. Шульга, И. Н. Ларионова, Е. Н. Жмакина // Кардиология в Беларуси. – 2022. – Т. 14, № 1. – С. 116-124.</w:t>
      </w:r>
    </w:p>
    <w:p w:rsidR="00443B06" w:rsidRPr="00B94C50" w:rsidRDefault="004A009D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4C50">
        <w:rPr>
          <w:rFonts w:ascii="Times New Roman" w:hAnsi="Times New Roman" w:cs="Times New Roman"/>
          <w:sz w:val="32"/>
          <w:szCs w:val="32"/>
        </w:rPr>
        <w:t xml:space="preserve">Якубова, Л. В. Актуальные акценты витамина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D</w:t>
      </w:r>
      <w:r w:rsidRPr="00B94C50">
        <w:rPr>
          <w:rFonts w:ascii="Times New Roman" w:hAnsi="Times New Roman" w:cs="Times New Roman"/>
          <w:sz w:val="32"/>
          <w:szCs w:val="32"/>
        </w:rPr>
        <w:t xml:space="preserve"> для "золотого" возраста / Л. В. Якубова // Рецепт. – 2022. – Т. 25, № 1. – С. 61-68.</w:t>
      </w:r>
    </w:p>
    <w:p w:rsidR="004B3B2C" w:rsidRPr="00B94C50" w:rsidRDefault="00443B06" w:rsidP="00B94C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Р. Э. Эффективность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гомосорбции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для подавления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цитокинового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шторма, вызванного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короновирусом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r w:rsidRPr="00B94C50"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B94C50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CoV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-2 / Р. Э.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Д.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Ракашевич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, И. Н.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Невгень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//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Весці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Нацыянальнай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акадэміі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навук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</w:rPr>
        <w:t>Беларусі</w:t>
      </w:r>
      <w:proofErr w:type="spellEnd"/>
      <w:r w:rsidRPr="00B94C50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Серыя</w:t>
      </w:r>
      <w:proofErr w:type="spellEnd"/>
      <w:r w:rsidRPr="00B94C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медыцынскіх</w:t>
      </w:r>
      <w:proofErr w:type="spellEnd"/>
      <w:r w:rsidRPr="00B94C5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94C50">
        <w:rPr>
          <w:rFonts w:ascii="Times New Roman" w:hAnsi="Times New Roman" w:cs="Times New Roman"/>
          <w:sz w:val="32"/>
          <w:szCs w:val="32"/>
          <w:lang w:val="en-US"/>
        </w:rPr>
        <w:t>навук</w:t>
      </w:r>
      <w:proofErr w:type="spellEnd"/>
      <w:r w:rsidRPr="00B94C50">
        <w:rPr>
          <w:rFonts w:ascii="Times New Roman" w:hAnsi="Times New Roman" w:cs="Times New Roman"/>
          <w:sz w:val="32"/>
          <w:szCs w:val="32"/>
          <w:lang w:val="en-US"/>
        </w:rPr>
        <w:t xml:space="preserve">. – 2022. – Т. 19, № 1. – </w:t>
      </w:r>
      <w:proofErr w:type="gramStart"/>
      <w:r w:rsidRPr="00B94C50">
        <w:rPr>
          <w:rFonts w:ascii="Times New Roman" w:hAnsi="Times New Roman" w:cs="Times New Roman"/>
          <w:sz w:val="32"/>
          <w:szCs w:val="32"/>
          <w:lang w:val="en-US"/>
        </w:rPr>
        <w:t>С. 112</w:t>
      </w:r>
      <w:proofErr w:type="gramEnd"/>
      <w:r w:rsidRPr="00B94C50">
        <w:rPr>
          <w:rFonts w:ascii="Times New Roman" w:hAnsi="Times New Roman" w:cs="Times New Roman"/>
          <w:sz w:val="32"/>
          <w:szCs w:val="32"/>
          <w:lang w:val="en-US"/>
        </w:rPr>
        <w:t>-119.</w:t>
      </w:r>
    </w:p>
    <w:p w:rsidR="004B3B2C" w:rsidRPr="008664AC" w:rsidRDefault="004B3B2C" w:rsidP="00B94C50">
      <w:pPr>
        <w:pStyle w:val="Default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bCs w:val="0"/>
          <w:color w:val="auto"/>
          <w:sz w:val="32"/>
          <w:szCs w:val="32"/>
          <w:lang w:val="en-US"/>
        </w:rPr>
      </w:pPr>
      <w:r w:rsidRPr="002C5520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Medical care and manifestations of ageism in healthcare institutions: opinion of elderly people. The example of four countries / </w:t>
      </w:r>
      <w:r w:rsidRPr="002C5520">
        <w:rPr>
          <w:rFonts w:ascii="Times New Roman" w:hAnsi="Times New Roman" w:cs="Times New Roman"/>
          <w:color w:val="auto"/>
          <w:sz w:val="32"/>
          <w:szCs w:val="32"/>
        </w:rPr>
        <w:t>А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Shpakou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L. </w:t>
      </w:r>
      <w:proofErr w:type="spellStart"/>
      <w:r w:rsidRPr="002C5520">
        <w:rPr>
          <w:rFonts w:ascii="Times New Roman" w:hAnsi="Times New Roman" w:cs="Times New Roman"/>
          <w:bCs/>
          <w:color w:val="auto"/>
          <w:sz w:val="32"/>
          <w:szCs w:val="32"/>
          <w:lang w:val="en-US"/>
        </w:rPr>
        <w:t>Klimatckaia</w:t>
      </w:r>
      <w:proofErr w:type="spellEnd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A.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Kuzniatsou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S.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Laskiene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O.</w:t>
      </w:r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 </w:t>
      </w:r>
      <w:proofErr w:type="spellStart"/>
      <w:r w:rsidRPr="002C5520">
        <w:rPr>
          <w:rFonts w:ascii="Times New Roman" w:hAnsi="Times New Roman" w:cs="Times New Roman"/>
          <w:color w:val="auto"/>
          <w:sz w:val="32"/>
          <w:szCs w:val="32"/>
          <w:lang w:val="en-US"/>
        </w:rPr>
        <w:t>Zaitseva</w:t>
      </w:r>
      <w:proofErr w:type="spellEnd"/>
      <w:r w:rsidRPr="002C552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 / </w:t>
      </w:r>
      <w:r w:rsidRPr="002C5520">
        <w:rPr>
          <w:rStyle w:val="A10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Family Medicine &amp; Primary Care Review</w:t>
      </w:r>
      <w:r w:rsidRPr="002C5520">
        <w:rPr>
          <w:rStyle w:val="A5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. – 2021. – Vol. 23, № 1. – P. 69-74.</w:t>
      </w:r>
    </w:p>
    <w:p w:rsidR="008664AC" w:rsidRPr="00597166" w:rsidRDefault="008664AC" w:rsidP="008664A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Open-label use of an aliphatic polyamine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immunomodulator</w:t>
      </w:r>
      <w:proofErr w:type="spellEnd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 in patients hospitalized with COVID-19 / 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S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Efimov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N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Matsiyeuskaya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O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Boytsova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L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Yu.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Akhieva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E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V.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Kuntsevich</w:t>
      </w:r>
      <w:proofErr w:type="spellEnd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, 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A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A.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Troshina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E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I.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Kvasova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A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A.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Tikhonov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N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F. </w:t>
      </w:r>
      <w:proofErr w:type="spellStart"/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Khomyakova</w:t>
      </w:r>
      <w:proofErr w:type="spellEnd"/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F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 Harrison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J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-F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. Rossi</w:t>
      </w:r>
      <w:r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>, T</w:t>
      </w:r>
      <w:r w:rsidRPr="00597166">
        <w:rPr>
          <w:rFonts w:ascii="Times New Roman" w:hAnsi="Times New Roman" w:cs="Times New Roman"/>
          <w:bCs/>
          <w:color w:val="414242"/>
          <w:sz w:val="32"/>
          <w:szCs w:val="32"/>
          <w:lang w:val="en-US"/>
        </w:rPr>
        <w:t xml:space="preserve">. C. Hardman // </w:t>
      </w:r>
      <w:r w:rsidRPr="00597166">
        <w:rPr>
          <w:rFonts w:ascii="Times New Roman" w:hAnsi="Times New Roman" w:cs="Times New Roman"/>
          <w:iCs/>
          <w:color w:val="auto"/>
          <w:sz w:val="32"/>
          <w:szCs w:val="32"/>
          <w:lang w:val="en-US"/>
        </w:rPr>
        <w:t xml:space="preserve">Drugs Context. – </w:t>
      </w:r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2022. – № </w:t>
      </w:r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11</w:t>
      </w:r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– </w:t>
      </w:r>
      <w:r>
        <w:rPr>
          <w:rFonts w:ascii="Times New Roman" w:hAnsi="Times New Roman" w:cs="Times New Roman"/>
          <w:color w:val="auto"/>
          <w:sz w:val="32"/>
          <w:szCs w:val="32"/>
        </w:rPr>
        <w:t>Р</w:t>
      </w:r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1-15. –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32"/>
          <w:szCs w:val="32"/>
          <w:lang w:val="en-US"/>
        </w:rPr>
        <w:t>doi</w:t>
      </w:r>
      <w:proofErr w:type="spellEnd"/>
      <w:proofErr w:type="gramEnd"/>
      <w:r w:rsidRPr="00597166">
        <w:rPr>
          <w:rFonts w:ascii="Times New Roman" w:hAnsi="Times New Roman" w:cs="Times New Roman"/>
          <w:color w:val="auto"/>
          <w:sz w:val="32"/>
          <w:szCs w:val="32"/>
          <w:lang w:val="en-US"/>
        </w:rPr>
        <w:t>: 10.7573/dic.2022-1-1.</w:t>
      </w:r>
    </w:p>
    <w:p w:rsidR="008664AC" w:rsidRPr="002C5520" w:rsidRDefault="008664AC" w:rsidP="008664AC">
      <w:pPr>
        <w:pStyle w:val="Default"/>
        <w:ind w:left="786"/>
        <w:jc w:val="both"/>
        <w:rPr>
          <w:rFonts w:ascii="Times New Roman" w:hAnsi="Times New Roman" w:cs="Times New Roman"/>
          <w:b/>
          <w:color w:val="auto"/>
          <w:sz w:val="32"/>
          <w:szCs w:val="32"/>
          <w:lang w:val="en-US"/>
        </w:rPr>
      </w:pPr>
    </w:p>
    <w:p w:rsidR="004B3B2C" w:rsidRPr="004B3B2C" w:rsidRDefault="004B3B2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B3B2C" w:rsidRPr="004B3B2C" w:rsidRDefault="004B3B2C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sectPr w:rsidR="004B3B2C" w:rsidRPr="004B3B2C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84331"/>
    <w:multiLevelType w:val="hybridMultilevel"/>
    <w:tmpl w:val="7444F77C"/>
    <w:lvl w:ilvl="0" w:tplc="FB7662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135"/>
    <w:rsid w:val="00055AA4"/>
    <w:rsid w:val="0005643C"/>
    <w:rsid w:val="000B152F"/>
    <w:rsid w:val="000D6A4D"/>
    <w:rsid w:val="000D6DAB"/>
    <w:rsid w:val="0017200A"/>
    <w:rsid w:val="001D7AF1"/>
    <w:rsid w:val="001F1E54"/>
    <w:rsid w:val="001F5E36"/>
    <w:rsid w:val="002363A5"/>
    <w:rsid w:val="002632AE"/>
    <w:rsid w:val="00266E6C"/>
    <w:rsid w:val="00285BD0"/>
    <w:rsid w:val="002F1B6F"/>
    <w:rsid w:val="00305E76"/>
    <w:rsid w:val="003631CC"/>
    <w:rsid w:val="00394330"/>
    <w:rsid w:val="00396B5A"/>
    <w:rsid w:val="003B15DD"/>
    <w:rsid w:val="003D5C64"/>
    <w:rsid w:val="00424E5B"/>
    <w:rsid w:val="00443B06"/>
    <w:rsid w:val="00492BA7"/>
    <w:rsid w:val="004A009D"/>
    <w:rsid w:val="004B3B2C"/>
    <w:rsid w:val="004F540A"/>
    <w:rsid w:val="005F4C17"/>
    <w:rsid w:val="00627A2D"/>
    <w:rsid w:val="00642A3E"/>
    <w:rsid w:val="0065622A"/>
    <w:rsid w:val="006B6728"/>
    <w:rsid w:val="007C11E9"/>
    <w:rsid w:val="00804DB1"/>
    <w:rsid w:val="008347A8"/>
    <w:rsid w:val="00860447"/>
    <w:rsid w:val="008664AC"/>
    <w:rsid w:val="00901BF9"/>
    <w:rsid w:val="00967854"/>
    <w:rsid w:val="00980135"/>
    <w:rsid w:val="009E3ED2"/>
    <w:rsid w:val="00A139A9"/>
    <w:rsid w:val="00A1607C"/>
    <w:rsid w:val="00A37AFB"/>
    <w:rsid w:val="00A6303C"/>
    <w:rsid w:val="00A808C3"/>
    <w:rsid w:val="00A92DCD"/>
    <w:rsid w:val="00AB0C25"/>
    <w:rsid w:val="00AE0C2E"/>
    <w:rsid w:val="00AE1E7F"/>
    <w:rsid w:val="00AF0D9E"/>
    <w:rsid w:val="00B842D7"/>
    <w:rsid w:val="00B94C50"/>
    <w:rsid w:val="00C816B6"/>
    <w:rsid w:val="00CC03E8"/>
    <w:rsid w:val="00CE6CCD"/>
    <w:rsid w:val="00D11AD9"/>
    <w:rsid w:val="00D1442B"/>
    <w:rsid w:val="00D9449C"/>
    <w:rsid w:val="00DF4621"/>
    <w:rsid w:val="00E61ED2"/>
    <w:rsid w:val="00E967D7"/>
    <w:rsid w:val="00EB5C26"/>
    <w:rsid w:val="00EF34D0"/>
    <w:rsid w:val="00F04C0F"/>
    <w:rsid w:val="00F1245C"/>
    <w:rsid w:val="00F72738"/>
    <w:rsid w:val="00FC596D"/>
    <w:rsid w:val="00FD524B"/>
    <w:rsid w:val="00FE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A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1D7AF1"/>
    <w:rPr>
      <w:rFonts w:cs="Calibri"/>
      <w:b/>
      <w:bCs/>
      <w:color w:val="221E1F"/>
      <w:sz w:val="12"/>
      <w:szCs w:val="12"/>
    </w:rPr>
  </w:style>
  <w:style w:type="character" w:customStyle="1" w:styleId="A10">
    <w:name w:val="A1"/>
    <w:uiPriority w:val="99"/>
    <w:rsid w:val="001D7AF1"/>
    <w:rPr>
      <w:rFonts w:cs="Calibri"/>
      <w:b/>
      <w:bCs/>
      <w:color w:val="FFFFFF"/>
      <w:sz w:val="21"/>
      <w:szCs w:val="21"/>
    </w:rPr>
  </w:style>
  <w:style w:type="character" w:styleId="a3">
    <w:name w:val="Hyperlink"/>
    <w:basedOn w:val="a0"/>
    <w:uiPriority w:val="99"/>
    <w:unhideWhenUsed/>
    <w:rsid w:val="008604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725</Words>
  <Characters>4133</Characters>
  <Application>Microsoft Office Word</Application>
  <DocSecurity>0</DocSecurity>
  <Lines>34</Lines>
  <Paragraphs>9</Paragraphs>
  <ScaleCrop>false</ScaleCrop>
  <Company>CtrlSoft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35</cp:revision>
  <dcterms:created xsi:type="dcterms:W3CDTF">2022-01-13T07:35:00Z</dcterms:created>
  <dcterms:modified xsi:type="dcterms:W3CDTF">2022-03-31T07:57:00Z</dcterms:modified>
</cp:coreProperties>
</file>